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91.3396 vom 9. März 1992</w:t>
      </w:r>
    </w:p>
    <w:p>
      <w:r>
        <w:t>Bundesverwaltung, 1992-03-09, DE</w:t>
      </w:r>
    </w:p>
    <w:p>
      <w:r>
        <w:rPr>
          <w:b/>
        </w:rPr>
        <w:t xml:space="preserve">Quelle: </w:t>
      </w:r>
      <w:r>
        <w:t>https://mcp.opencaselaw.ch/entscheid/ch_vb_91.3396</w:t>
      </w:r>
    </w:p>
    <w:p>
      <w:r>
        <w:t>FR: CH_VB 91.3396 du 9 mars 1992</w:t>
      </w:r>
    </w:p>
    <w:p>
      <w:r>
        <w:t>IT: CH_VB 91.3396 del 9 marzo 1992</w:t>
      </w:r>
    </w:p>
    <w:p>
      <w:pPr>
        <w:pStyle w:val="Heading2"/>
      </w:pPr>
      <w:r>
        <w:t>Erwägungen</w:t>
      </w:r>
    </w:p>
    <w:p>
      <w:r>
        <w:rPr>
          <w:b/>
        </w:rPr>
        <w:t>E. 9</w:t>
      </w:r>
    </w:p>
    <w:p>
      <w:r>
        <w:t>mars 1992 den für den Autoverlad ausgerichteten Verbilligungsbeitrag zu erhöhen. Dabei hat das Parlament mit seinen finanziellen Auf- lagen gegenüber den SBB den Weg selber gewiesen. Da der Autoverlad dem marktwirtschaftlichen Bereich der SBB zugeordnet wird, liegt es allein im Ermessen der SBB zu ent- scheiden, ob der Autoverlad am Simplon auch nach dem 30. Mai 1992 aufrechterhalten werden soll. Schriftliche Erklärung des Bundesrates Déclaration écrite du Conseil fédéral Der Bundesrat beantragt, die Motion abzulehnen. Schmidhalter: Ich möchte Ihnen beliebt machen, dass wir die Behandlung dieser Motion verschieben, und zwar aus folgen- dem Grund: Wir haben am 20. Januar 1992 dem Bundesrat einen Brief ge- schrieben und verlangt, dass die betroffenen und interessier- ten Departemente zu einer Aussprache über das Vorgehen eingeladen werden, da in dieser Angelegenheit neben dem Eidgenössischen Verkehrs- und Energiewirtschaftsdeparte- ment auch das Departement für auswärtige Angelegenhei- ten - Transitvertrag und Verhandlungen mit den FS (Ferrovie dello Stato) -, das Finanzdepartement-Verbilligung der Auto- transporte und kombinierter Verkehr - und das Volkswirt- schaftsdepartement angesprochen sind. Wir haben angeregt, dass sich die Kantonsregierungen Bern und Wallis mit den SBB, der BLS und den betroffenen Regio- nen zu einer Aussprache treffen würden. Dies ist noch nicht er- folgt, da es doch eine gewisse Organisation braucht, um eine solche Sitzung einzuberufen. Auf der anderen Seite haben die SBB bis heute immer wieder erklärt, sie würden diesen Auto- verlad auf Ende Mai definitiv einstellen. Vor einer Woche nun haben sie geschrieben, dass sie diese Einstellung auf Ende Jahr verschieben wollen. Deshalb beantrage ich Ihnen, diese Motion an der nächsten oder übernächsten Sitzung zu behandeln. Verschoben - Renvoyé #ST# 90.652 Motion der christlichdemokratischen Fraktion Rahmenbedingungen für den Finanzplatz Schweiz Motion du groupe démocrate-chrétien Conditions propices à l'essor de la place financière suisse Wortlaut der Motion vom 22. Juni 1990 Der Bundesrat wird beauftragt, raschmöglichst - in einem Bericht zum Thesenpapier «Die Zukunft des Finanz- platzes Schweiz» der Arbeitsgruppe Finanzplatz Schweiz der Bundesratsparteien gesamthaft Stellung zu nehmen; - die notwendigen gesetzlichen Vorschriften vorzuschlagen, um die Rahmenbedingungen für einen attraktiven Finanzplatz Schweiz wettbewerbsorientiert, europabezogen und zukunfts- gerichtet auszugestalten. In diesem Zusammenhang sind insbesondere vorzuschla- gen: 1. eine marktgerechte und schrittweise Liberalisierung der Fi- nanzmärkte; 2. die Schaffung eines auf die Markterfordernisse ausgerichte- ten eidgenössischen Börsenrechtes, das den internationalen Entwicklungstendenzen voll Rechnung trägt; 3. eine umfassende Revision des Anlagefondsgesetzes unter Trennung der Immobilien- von den übrigen Anlagefonds und unter Gewährleistung einer liquidationssteuerfreien Umwand- lung von Immobilienfonds in Aktiengesellschaften; 4. eine Verstärkung der gegen die Geldwäscherei und das or- ganisierte Verbrechen gerichteten Gesetzgebung, wobei die Vermittler von Geld- und Anlagegeschäften miteinzubeziehen sind; 5. eine Ausrichtung der Eigenmittelvorschriften für die Banken auf die im Rahmen der Bank für Internationalen Zahlungsaus- gleich und der EG erarbeiteten Normen. Im Rahmen der entsprechenden Botschaft ist aufzuzeigen, 1. wie die im Zusammenhang mit dem Finanzplatz relevante schweizerische Gesetzgebung im fiskalischen wie im ausser- fiskalischen Bereich längerfristig dem EG-Standard angegli- chen werden kann; 2. inwieweit ein Anpassungsbedarf bei bereits in der parla- mentarischen Beratung stehenden Vorlagen besteht und wie diesem Anpassungsbedarf längerfristig Rechnung getragen werden kann; 3. wie sich die Schaffung optimaler Rahmenbedingungen für den Finanzplatz Schweiz längerfristig auswirken wird in volks- wirtschaftlicher Hinsicht und mit Bezug auf die fiskalischen As- pekte für Bund, Kantone und Gemeinden; 4. wie der Finanzplatz Liechtenstein in diese Bestrebungen möglichst umfassend miteinbezogen werden kann. Texte de la motion du 22 juin 1990 Le Conseil fédéral est chargé - d'exprimer, le plus tôt possible, dans un rapport, l'opinion de tous ses membres sur le rapport «L'avenir de la place finan- cière suisse» du Groupe de travail «Place financière suisse des partis représentés au Conseil fédéral», - de proposer le plus rapidement possible les dispositions lé- gales nécessaires pour faire de la Suisse une place financière attrayante, tournée vers l'avenir, vers l'Europe et vers la concurrence. Dans cette optique, il y a lieu de proposer les changements suivants: 1. libéraliser la place financière suisse de manière progressive et adaptée au marché; 2. élaborer une législation fédérale sur les bourses adaptée aux exigences du marché et tenant pleinement compte de son évolution internationale; 3. revoir de manière approfondie la loi sur les fonds de place- ment, en distinguant les fonds de placement immobilier des autres fonds de placement et en garantissant que la transfor- mation d'un fonds immobilier en société anonyme ne donne pas lieu à la perception d'un impôt lors de la liquidation du fonds; 4. renforcer la législation contre le blanchissage d'argent et le crime organisé en l'appliquant également aux personnes fai- sant office d'intermédiaires dans les opérations monétaires et les opérations de placement; 5. faire concorder les dispositions sur les fonds propres des banques avec celles de la Banque des règlements internatio- naux et de la CE. Dans le message y afférent, il conviendrait de répondre aux questions suivantes: 1. Comment la législation suisse se rapportant aux marchés fi- nanciers peut-elle être alignée à long terme sur les normes communautaires, en particulier dans le domaine fiscal? 2. Dans quelle mesure les projets qui font déjà l'objet d'un exa- men au Parlement ont-ils besoin d'être adaptés, et comment prendre en compte, à long terme, cette nécessité? 3. Comment ces conditions propices à l'essor de la place fi- nancière suisse se répercuteront-elles, à long terme, sur l'éco- nomie nationale? Quels en seront les aspects fiscaux pour la Confédération, les cantons et les communes? 4. Comment la place financière du Liechtenstein peut-elle être associée, le plus étroitement possible, à ces efforts?</w:t>
      </w:r>
    </w:p>
    <w:p>
      <w:r>
        <w:t>Schweizerisches Bundesarchiv, Digitale Amtsdruckschriften Archives fédérales suisses, Publications officielles numérisées Archivio federale svizzero, Pubblicazioni ufficiali digitali Motion Schmidhalter Aufrechterhaltung Autoverlad durch den Simplontunnel Motion Schmidhalter Transport ferroviaire de voitures à travers le Simplon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04 Séance Seduta Geschäftsnummer 91.3396 Numéro d'objet Numero dell'oggetto Datum 09.03.1992 - 14:30 Date Data Seite 358-360 Page Pagina Ref. No 20 021 001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