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91.3385 vom 20. März 1992</w:t>
      </w:r>
    </w:p>
    <w:p>
      <w:r>
        <w:t>Bundesverwaltung, 1992-03-20, DE</w:t>
      </w:r>
    </w:p>
    <w:p>
      <w:r>
        <w:rPr>
          <w:b/>
        </w:rPr>
        <w:t xml:space="preserve">Quelle: </w:t>
      </w:r>
      <w:r>
        <w:t>https://mcp.opencaselaw.ch/entscheid/ch_vb_91.3385</w:t>
      </w:r>
    </w:p>
    <w:p>
      <w:r>
        <w:t>FR: CH_VB 91.3385 du 20 mars 1992</w:t>
      </w:r>
    </w:p>
    <w:p>
      <w:r>
        <w:t>IT: CH_VB 91.3385 del 20 marzo 1992</w:t>
      </w:r>
    </w:p>
    <w:p>
      <w:pPr>
        <w:pStyle w:val="Heading2"/>
      </w:pPr>
      <w:r>
        <w:t>Erwägungen</w:t>
      </w:r>
    </w:p>
    <w:p>
      <w:r>
        <w:rPr>
          <w:b/>
        </w:rPr>
        <w:t>E. 20</w:t>
      </w:r>
    </w:p>
    <w:p>
      <w:r>
        <w:t>März 1992 N 623 Motion (Houmard-)Bonny ihre Geltungsdauer Ende 1979 wieder aus. Das Problem der oft mangelhaften Ausgabendisziplin des Parlamentes jedoch blieb bestehen. Dies veranlasste die Finanzkommission beider Räte im Jahre 1983, den Bundesrat mit einer Motion zu beauftragen, die insti- tutionelle Ausgaben bremse erneut einzuführen. Leider wurde dieser Auftrag vom Bundesrat nicht speditiv an die Hand ge- nommen. Erst im Januar 1987 wurde ein entsprechender Vor- schlag in die Vernehmlassung geschickt. Diese Vernehmlas- sung zeitigte - vielleicht wegen der in der Zwischenzeit ange- brochenen fetten Jahre - nicht mehr die gleich geschlossene Unterstützung, wie sie der Souverän in den siebziger Jahren manifestiert hatte. Zwar betonten alle Vernehmlassungsant- worten die Notwendigkeit einer haushälterischen Ausgaben- politik, fanden aber gleichzeitig das eine oder andere Haar in der Suppe. So wurde beispielsweise angeführt, die Ausgaben- bremse sei ein Instrument für schlechte Zeiten und daher im Moment nicht opportun. Bedauerlicherweise hat der Bundesrat diese etwas kritische Vernehmlassung zum Anlass genommen, vom ganzen Pro- jekteiner Ausgabenbremse Abstand zu nehmen, und das Par- lament ist ihm dabei - wenn auch eher knapp und gegen den Widerstand der Finanzkommissionen - gefolgt In der Zwischenzeit hat das Parlament aber klar demonstriert, dass die Ausgaben bremse vor allem in guten Zeiten ge- brauchtwürde und zur Verfügung stehen sollte. Politisch lässt sie sich aber offensichtlich leichter unter Sparzwang verwirkli- chen. Deshalb müssen die rechtlichen Grundlagen jetzt un- verzüglich neu aufgelegt werden. Die Ausgabenbremse zwingt das Parlament, Prioritäten zu set- zen. Sie verunmöglicht ihm nicht, andere Schwerpunkte zu setzen, als dies der Bundesrat vorschlägt, aber sie verlangt vom Parlament, diese Prioritäten vermehrt auf die langfristigen finanziellen Möglichkeiten des Bundeshaushaltes abzustim-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