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91.3347 vom 13. Dezember 1991</w:t>
      </w:r>
    </w:p>
    <w:p>
      <w:r>
        <w:t>Bundesverwaltung, 1991-12-13, DE</w:t>
      </w:r>
    </w:p>
    <w:p>
      <w:r>
        <w:rPr>
          <w:b/>
        </w:rPr>
        <w:t xml:space="preserve">Quelle: </w:t>
      </w:r>
      <w:r>
        <w:t>https://mcp.opencaselaw.ch/entscheid/ch_vb_91.3347</w:t>
      </w:r>
    </w:p>
    <w:p>
      <w:r>
        <w:t>FR: CH_VB 91.3347 du 13 décembre 1991</w:t>
      </w:r>
    </w:p>
    <w:p>
      <w:r>
        <w:t>IT: CH_VB 91.3347 del 13 dicembre 1991</w:t>
      </w:r>
    </w:p>
    <w:p>
      <w:pPr>
        <w:pStyle w:val="Heading2"/>
      </w:pPr>
      <w:r>
        <w:t>Erwägungen</w:t>
      </w:r>
    </w:p>
    <w:p>
      <w:r>
        <w:rPr>
          <w:b/>
        </w:rPr>
        <w:t>E. 13</w:t>
      </w:r>
    </w:p>
    <w:p>
      <w:r>
        <w:t>Dezember 1991 2521 Interpellation Ruf Im Ausbau ist aber die Verwendung von Holz vorgesehen, z. B. Parkett in den Büros, Schrankfronten, Holzmetallfenster, Türen usw. 2. Es haben bereits Kontakte zwischen dem Amt für Bundes- bauten und der Lignum stattgefunden. Auch der Zentralpräsi- dent der Schweizerischen Schreinermeister und Möbelfabri- kanten wurde betreffend den Neubau für das Buwal kontak- tiert. Im weiteren führte das Amt für Bundesbauten auch di- verse Gespräche mit den entsprechenden Stellen im Buwal. Gerade im Zusammenhang mit der Verwendung von Holz für den Innenausbau dürfte das neugeschaffene Ursprungszeug- nisfür Schweizer Holz besonders zweckmässig sein. 3. Im Bereich der regionalen Wärmeversorgung, welche sich in der Phase der Vorabklärung befindet, sind verschiedene Wärmelieferanten und Wärmekonsumenten erfasst, unter an- derem auch ein Gebäude, welches bereits heute eine Holz- schnitzelfeuerung besitzt. In der Machbarkeitsstudie für diese Wärmeversorgung wird bezüglich Holz als Wärmeträger folgendes ausgesagt: «Dieses Gebiet liegt infolge der stark frequentierten Autobahn und Hauptstrasse im Massnahmenplangebiet. Deshalb leh- nen sowohl das Buwal wie auch das Kantonale Amt für Indu- strie, Gewerbe und Arbeit im heutigen Zeitpunkt im Gebiet Worblentalstrasse/Papiermühle Holzfeuerungsanlagen ab. Da eine Holzfeuerungsanlage gegenüber Oel- und Gashei- zungen noch höhere Stickstoffdioxidemissionen aufweist, würde dies eine zusätzliche Belastung darstellen. Die Entwick- lung von modernen Holzverbrennungsanlagen muss jedoch weiterhin beobachtet werden. Zurzeit sind Pilot- und Ver- suchsanlagen im Kanton Zürich im Bau. Dabei wird vor allem versucht, die Stickstoffdiooxidbildung bei der Holzverbren- nung zu reduzieren.» 4a Beim Mobiliar für diesen Neubau sind alle Tischblätter in Holz, die Seiten und Tablare in Spanplatten vorgesehen. 4b. Das Mobiliarprogramm des Bundes besteht zu einem gros- sen Teil aus Spanplatten. Laut Holzstatistik wurden im Rahmen der Mobiliarbeschaffung im Jahr 1990 vom Amt für Bundesbau- ten für den Holzanteil etwa 6 900 000 Franken aufgewendet. Gegenwärtig wird durch das Amt für Bundesbauten geprüft, welche finanziellen Auswirkungen eine noch verstärkte Verla- gerung auf Holz im Bereich des Mobiliars hätte. Es muss jedoch beachtet werden, dass in der Sparte Büromö- bel Holz (laut Schweizerischer Schreinerzeitung Nr. 26 vom 27. Juni 1991) von Januar bis März 1990 für etwa 34 Millionen Franken Importe und nur etwa 3,5 Millionen Franken Exporte getätigt wurden. Allerdings hat sich 1991 die Situation leicht verschoben: Etwa 28 Millionen Franken Importe stehen 5,7 Millionen Franken Exporten gegenüber. Aber der Import überwiegt immer noch sehr stark. Schlussbemerkung zum Neubau Buwal: Im Projektheft wurde folgender Abschnitt aufgenommen: «2.7 Bauökologische Massnahmen Das Ziel der Bautätigkeit sollte es sein, bei der Erstellung und beim Betrieb der Gebäude die Umweltbelastung und den Energieverbrauch zu minimieren. Der Bund - und insbeson- dere das Buwal - muss bei der Realisierung dieser Zielset- zung Vorbild sein. Aus diesem Grund ist vorgesehen, für den Neubau Ittigen ökologisch optimale Technologien einzuset- zen und Materialien zu verwenden, deren Gewinnung, Trans- port, Verwendung und Entsorgung zu möglichst geringen Umweltbelastungen führen. So sollen zum Beispiel lösungs- mittelfreie Farben und Lacke, viel einheimisches Holz (kein Tropenholz), keine FCKW- oder halonhaltige Produkte, wenn möglich kein PVC usw. gebraucht werden. Diese Materialien und Produkte werden im Vergleich zu herkömmlichen zu ge- wissen Mehrkosten führen, welche im Kostenvoranschlag an- gemessen zu berücksichtigen sind.» Präsident: Der Interpellant beantragt Diskussion. Abstimmung - Vote Für den Antrag auf Diskussion Dagegen Verschoben - Renvoyé offensichtliche Mehrheit Minderheit #ST# 91.3048 Interpellation Ruf Dringliche asylpolitische Massnahmen Politique d'asile. Mesures urgentes Wortlaut der Interpellation vom 5. März 1991 Im Zusammenhang mit der sich in jüngster Zeit erneut - trotz der dritten Revision des Asylverfahrens - dramatisch verschär- fenden Lage im Asylbereich wird der Bundesrat zur umfassen- den Beantwortung folgender Fragen aufgefordert: 1. Unmittelbar nach Ablauf der ihnen gesetzten Ausreisefrist entzogen sich am 17. und 18. Februar 1991 im Kanton Obwal- den 17 abgewiesene türkisch-kurdische Asylbewerber der Ausschaffung durch Untertauchen. Zuvor hatten sie - unter- stützt durch verschiedene Organisationen und Einzelperso- nen sowie einen Teil der Medien - wochenlang mit publizitäts- wirksamen Aktionen (Hungerstreik usw.) versucht, die rechts- gültigen Entscheide der Behörden umzustossen. Gemäss Presseberichten wurden die Betroffenen in gesetzeswidriger Weise durch Angehörige der sogenannten «AAA» («Aktion für abgewiesene Asylbewerber»), die bereits früher verschiedent- lich für ähnlich unrühmliche Schlagzeilen gesorgt hatte, an verschiedenen unbekannten Orten in der Schweiz versteckt! a Weshalb wurden die 17 abgewiesenen Asylanten nicht rechtzeitig gemäss Artikel 14 Absatz 2Anag in Ausschaffungs- haft genommen, da ihr Untertauchen zweifellos voraussehbar war und mehr als nur «gewichtige Anhaltspunkte» vorlagen, dass sie sich der Ausschaffung entziehen würden? b. Ist der Bundesrat bereit, in ähnlichen künftigen Fällen bei den zuständigen kantonalen Behörden rechtzeitig dahinge- hend zu intervenieren, dass vom Instrument der Ausschaf- fungshaft Gebrauch gemacht wird? c. Werden die Untergetauchten polizeilich gesucht? In wel- chen Kantonen und mit welchen Mitteln? d. Werden die für die illegalen Versteckaktionen verantwortli- chen Personen, die den Behörden aufgrund mehrfacher öf- fentlicher Geständnisse bekannt sind, strafrechtlich verfolgt? Erstatten die Bundesbehörden wenn nötig selbst Strafan- zeige? e. Wie beurteilt der Bundesrat die systematischen Bestrebun- gen gewisser Interessenkreise, die behördliche Asylpolitik durch gesetzeswidrige Aktionen (wie die erwähnte) zu sabo- tieren? f. Wie stellt sich der Bundesrat namentlich zur Frage der Lega- lität einer Organisation wie der «AAA», die - auch nach eige- nem Eingeständnis-vorsätzlich, wiederholt und systematisch illegale Handlungen (Verstecken abgewiesener Asylbewer- ber, Beschaffung gefälschter Pässe für untergetauchte Asy- lanten u. a.) begeht bzw. dazu aufruft? g. Welche Massnahmen drängen sich nach Ansicht des Bun- desrates auf, um derartigen Delikten (Verbrechen und Verge- hen) nach Möglichkeit präventiv zu begegnen? 2. Ist der Bundesrat bereit, im Rahmen der Bestrebungen zur Eindämmung des wachsenden Zustroms von Wirtschaftsasy- lanten in die Schweiz so rasch als möglich folgende Massnah- men zu treffen: a. Möglichst umfassende Erweiterung der Liste der Safe coun- tries? Wenn ja: Wann und durch welche Länder? b. Abschluss eines Schubabkommens mit Italiens? c. Beitritt zum Europäischen Erstasylabkommen? 3. Gemäss Artikel 21 Absatz 1 AVB dürfen Asylbewerber wäh- rend der ersten drei Monate nach dem Einreichen eines Asyl- gesuchs keine Erwerbstätigkeit ausüben. Ergeht innert dieser Frist erstinstanzlich ein negativer Entscheid, so kann der Auf- enthaltskanton das Arbeitsverbot um weitere drei Monate ver- längern. Bundesrat Koller hat ein sechsmonatiges Arbeitsver- bot in den vergangenen Wochen wiederholt öffentlich als eine naheliegende und wirksame Massnahme bezeichnet, um die Attraktivität der Schweiz auf Wirtschaftsasylanten zu senken.</w:t>
      </w:r>
    </w:p>
    <w:p>
      <w:r>
        <w:t>Schweizerisches Bundesarchiv, Digitale Amtsdruckschriften Archives fédérales suisses, Publications officielles numérisées Archivio federale svizzero, Pubblicazioni ufficiali digitali Interpellation (Houmard-)Giger Verwendung von Holz in der Bundesverwaltung Interpellation (Houmard-)Giger Utilisation du bois dans l'administration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91.3347 Numéro d'objet Numero dell'oggetto Datum 13.12.1991 - 08:00 Date Data Seite 2520-2521 Page Pagina Ref. No</w:t>
      </w:r>
    </w:p>
    <w:p>
      <w:r>
        <w:rPr>
          <w:b/>
        </w:rPr>
        <w:t>E. 20</w:t>
      </w:r>
    </w:p>
    <w:p>
      <w:r>
        <w:t>020 767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