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91.3319 vom 19. Juni 1992</w:t>
      </w:r>
    </w:p>
    <w:p>
      <w:r>
        <w:t>Bundesverwaltung, 1992-06-19, DE</w:t>
      </w:r>
    </w:p>
    <w:p>
      <w:r>
        <w:rPr>
          <w:b/>
        </w:rPr>
        <w:t xml:space="preserve">Quelle: </w:t>
      </w:r>
      <w:r>
        <w:t>https://mcp.opencaselaw.ch/entscheid/ch_vb_91.3319</w:t>
      </w:r>
    </w:p>
    <w:p>
      <w:r>
        <w:t>FR: CH_VB 91.3319 du 19 juin 1992</w:t>
      </w:r>
    </w:p>
    <w:p>
      <w:r>
        <w:t>IT: CH_VB 91.3319 del 19 giugno 1992</w:t>
      </w:r>
    </w:p>
    <w:p>
      <w:pPr>
        <w:pStyle w:val="Heading2"/>
      </w:pPr>
      <w:r>
        <w:t>Erwägungen</w:t>
      </w:r>
    </w:p>
    <w:p>
      <w:r>
        <w:rPr>
          <w:b/>
        </w:rPr>
        <w:t>E. 19</w:t>
      </w:r>
    </w:p>
    <w:p>
      <w:r>
        <w:t>Juni 1992 N 1207 Motion Giezendanner einziger konzessionierter Flughafen kommt sie ohne Subven- tionen durch die öffentliche Hand aus, da im Kanton und in der Stadt Bern entsprechende Rechtsgrundlagen fehlen. Die Alpar AG hat in den vergangenen Jahren über 3 Millionen Franken in die Erneuerung der technischen Anlagen des Flug- hafens investiert. Noch nicht ersetzt wurden die veralteten, in keiner Weise mehr zweckdienlichen oder representativen Ge- bäulichkeiten. Die Mehrheit von ihnen ist in leichter Holzbau- weise gefertigt und weist ein Alter von 40 bis 50 Jahren auf. Ins- besondere der für den Eindruck auf ankommende Passagiere wichtige Terminal besteht aus Baracken aus dem Zweiten Weltkrieg. Die Alpar AG beabsichtigt, in den nächsten Jahren die veralte- ten Gebäulichkeiten durch zweckdienliche moderne Bauten zu ersetzen. Sie erwartet einen Investitionsrahmen von 18 Mil- lionen Franken. Voraussetzung dazu bildet eine Erhöhung des Aktienkapitals von heute 3,065 Millionen Franken auf 8 bis 9 Millionen Franken. Kommt eine solche Kapitalerhöhung nicht oder nur unvollständig zustande, so hat die Alpar AG er- klärt, sie werde bloss technische Gebäulichkeiten erstellen und auf einen neuen Passagierterminal verzichten. Gerade aber der Passagiertrakt ist für das Image eines Flughafens und des damit verbundenen Landes von entscheidender Bedeu- tung. Denn die Flughafengebäude stellen den ersten Kontakt eines anreisenden Gastes zu einem Land dar. Aus Kreisen des diplomatischen Corps wurde denn auch immer wieder auf das negative Image hingewiesen, welches die Berner Flughafen- bauten der Schweiz verpassen. Angesichts dieser Ausgangslage, des besonderen Interesses der Eidgenossenschaft am Zustand des Berner Flughafens für Staatsbesuche, aber auch für normalen diplomatischen Rei- severkehr - insbesondere in den kommenden Jahren, in de- nen durch die Integration Europas dieser Reiseverkehr we- sentlich intensiviert werden wird - drängt sich eine Anwen- dung von Artikel 102 des Luftfahrtgesetzes auf, welcher dem Bund die Kompetenz gibt, sich an Flughafengesellschaften zu beteiligen. In der Annahme, dass auch die bernische Privatwirtschaft an einer Aktienkapitalerhöhung mitmacht, kann mit einem Betrag von 3 Millionen Franken eine Beteiligung von etwa 33 Prozent an der Flughafengesellschaft erworben werden. Damit wer- den die finanziellen Voraussetzungen zu einer modernen In- frastruktur auf dem Flughafen Bern-Belp gesetzt Mittelfristig dürfte sich zudem die Investition wegen der zu erwartenden Dividenden auch kommerziell bezahlt machen. Schriftliche Stellungnahme des Bundesrates vom 13. Mai 1992 Rapport écrit du Conseil fédéral du 13 mai 1992 Die Frage einer allfälligen Beteiligung des Bundes an einem Flughafen bedarf eingehender Abklärungen. Es sind dabei nicht nur rechtliche und finanzielle, sondern auch politische und praktische Aspekte zu prüfen. Auch muss die präjudizielle Wirkung eines solchen Entscheides bedacht werden. Die vom Motionär angeführte Begründung vermag auf den er- sten Blick eine Bundesbeteiligung jedenfalls nicht so ohne weiteres zu rechtfertigen, auch wenn es dabei um den Flug- platz der Bundesstadt geht Schriftliche Erklärung des Bundesrates Déclaration écrite du Conseil fédéral Der Bundesrat beantragt, die Motion in ein Postulat umzuwan- deln. Präsident: Der Vorstoss wird von Frau Bär, Frau Bäumlin und Herrn Vollmer bekämpft Die Diskussion wird verschoben. Verschoben - Renvoyé #ST# 92.3030 Motion Giezendanner Privatisierung von Stückguttransporten der SBB (Cargo Domizil) Cargo Domicile. Privatisation Wortlaut der Motion vom 31. Januar 1992 Der Bundesrat wird eingeladen, den Bundesbeschluss über den Leistungsauftrag an die SBB vom 9. Oktober 1986 zu än- dern. Der Stückgutverkehr (Cargo Domizil)-Artikel 2 Absatz 1 Buchstabe c-sei im Leistungsauftrag zu streichen. Der Stück- gutverkehr der SBB sei vollumfänglich dem privaten Trans- portgewerbe zu übergeben. Das Transportgewerbe über- nimmt die Verteilung der Stückgüter ohne jegliche Bundes- subvention. Texte de /a motion du 31 janvier 1992 Le Conseil fédéral est chargé de modifier l'arrêté fédéral du 9 octobre 1986 fixant les principes du mandat des Chemins de fer fédéraux. Il conviendrait de supprimer le trafic de détail (Cargo Domicile) mentionné à l'article 2,1 er alinéa, lettre c, de cet arrêté. L'ensemble du trafic de détail des CFF devrait être confié à des entreprises de transport privées. Ces entreprises assureraient la distribution des marchandises de détail sans bénéficier d'aucune subvention de la part de la Confédération. Mitunterzeichner-Cosignataires: Allenspach, Aregger, Aubry, Berger, Bezzola, Binder, Bonny, Borer Roland, Borradori, Bor- toluzzi, Bührer Gerold, Cavadini Adriano, Chevallaz, Cincera, Cotti, Daepp, Dettling, Dreher, Eymann Christoph, Fehr, Fi- scher-Hägglingen, Fischer-Seengen, Frey Walter, Friderici Charles, Fritschi Oscar, Früh, Giger, Gros Jean-Michel, Gysin, Hess Otto, Jenni Peter, Kern, Leuba, Loeb François, Luder, Mamie, Maspoli, Mauch Rolf, Maurer, Miesch, Moser, Mühle- mann, Müller, Narbel, Neuenschwander, Oehler, Perey, Phili- pona, Pidoux, Poncet, Reimann Maximilian, Rohrbasser, Ry- chen, Sandoz, Savary, Scherrer Jürg, Scherrer Werner, Scheurer Rémy, Schmied Walter, Schwab, Seiler Hanspeter, Spoerry, Stamm Luzi, Steinegger, Steinemann, Stucky, Tschuppert Karl, Vetterli, Wittenwiler, Wyss, Zölch, Zwahlen (72) Schriftliche Begründung - Développement par écrit Bekanntlich resultiert aus dem Stückguttransport der SBB (Cargo Domizil) ein grosser Betriebsverlust Stückgut ist nicht prädestiniert als Fracht der Bahn. Da in der Schweiz bereits per LKW erfolgreich Stückverteilung betrieben wird (zu kostendeckenden Preisen), kann dieser de- fizitäre Bereich von der Bahn an das private Transportgewerbe abgetreten werden. Die Verteilung für unsere Volkswirtschaft bleibt gewährleistet Für die SBB wird eine grosse Verlustquelle eliminiert, zudem kann die freiwerdende Kapazität z. B. für den zukunftsträchti- gen Kombiverkehr genutzt werden. (Man denke an die er- höhte Schienen- und Lokomotivkapazität). Die Güterschuppen und Lagerhäuser können gewinnbrin- gend vermietet werden. Da bereits heute der grösste Teil von Cargo Domizil über die Strasse abgewickelt wird, entsteht kein ökologischer Nachteil. Im Gegenteil, es werden weniger Kleinlastwagen auf der Strasse verkehren. Die heute verkehrenden Stückgut-LKW werden besser ausgelastet sein. SBB-Personal könnte teilweise von den SBB durch die priva- ten Unternehmungen übernommen werden. Der moderne Kombiverkehr könnte durch die neuen, nach marktwirtschaftlichen Grundsätzen geführten privatwirtschaft- lichen Transportunternehmungen auch für längere Distanzen in der Schweiz genutzt werden.</w:t>
      </w:r>
    </w:p>
    <w:p>
      <w:r>
        <w:t>Schweizerisches Bundesarchiv, Digitale Amtsdruckschriften Archives fédérales suisses, Publications officielles numérisées Archivio federale svizzero, Pubblicazioni ufficiali digitali Motion Loeb François Beteiligung des Bundes an der Berner Flughafengesellschaft Alpar AG Motion Loeb François Participation de la Confédération à l'Alpar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91.3319 Numéro d'objet Numero dell'oggetto Datum 19.06.1992 - 08:00 Date Data Seite 1206-1207 Page Pagina Ref. No</w:t>
      </w:r>
    </w:p>
    <w:p>
      <w:r>
        <w:rPr>
          <w:b/>
        </w:rPr>
        <w:t>E. 20</w:t>
      </w:r>
    </w:p>
    <w:p>
      <w:r>
        <w:t>021 283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