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91.3264 vom 16. Dezember 1992</w:t>
      </w:r>
    </w:p>
    <w:p>
      <w:r>
        <w:t>Bundesverwaltung, 1992-12-16, DE</w:t>
      </w:r>
    </w:p>
    <w:p>
      <w:r>
        <w:rPr>
          <w:b/>
        </w:rPr>
        <w:t xml:space="preserve">Quelle: </w:t>
      </w:r>
      <w:r>
        <w:t>https://mcp.opencaselaw.ch/entscheid/ch_vb_91.3264</w:t>
      </w:r>
    </w:p>
    <w:p>
      <w:r>
        <w:t>FR: CH_VB 91.3264 du 16 décembre 1992</w:t>
      </w:r>
    </w:p>
    <w:p>
      <w:r>
        <w:t>IT: CH_VB 91.3264 del 16 dicembre 1992</w:t>
      </w:r>
    </w:p>
    <w:p>
      <w:pPr>
        <w:pStyle w:val="Heading2"/>
      </w:pPr>
      <w:r>
        <w:t>Erwägungen</w:t>
      </w:r>
    </w:p>
    <w:p>
      <w:r>
        <w:rPr>
          <w:b/>
        </w:rPr>
        <w:t>E. 16</w:t>
      </w:r>
    </w:p>
    <w:p>
      <w:r>
        <w:t>décembre 1992 Herr Bundesrat Koller, ich danke Ihnen für die Bereitschaft, das Postulat entgegenzunehmen. Nun noch einige wenige Worte zu jenen im Rat, die noch um ein Ja oder Nein zur Postulatsüberweisung ringen. In der letz- ten Session haben wir dem Bericht zur sprachlichen Gleichbe- rechtigung der Geschlechter in der Gesetzessprache zuge- stimmt. Es gibt keine vernünftigen Gründe, die sprachliche Gleichberechtigung im Schweizer Pass zu verwehren. In Arti- kel 4 Absatz 2 der Bundesverfassung steht: «Mann und Frau sind gleichberechtigt.» Und ein letztes Argument: Die Ueber- weisung des Postulates beeinflusst auch die Staatskasse nicht. Dieser Hinweis mag einigen die Zustimmung er- leichtern. Wir Frauen möchten nicht länger nur mitgemeint sein. Wir möchten nicht mehr länger Uebersetzungsarbeit leisten und in der Sprache dauernd klären müssen, wo wir mitgemeint sind und wo nicht. Dessen sind wir müde. Durch einen gleich- berechtigenden Sprachgebrauch fühlen wir Frauen uns bes- ser zugehörig, integriert und ernst genommen. Dies kommt letztendlich Frauen und Männern zugute. Die sprachliche Gleichstellung im Pass ist in ihrem Ausmass verglichen mit dem, was bezüglich Gleichstellung noch zu tun ist, erst ein kleines Schrittchen. Durch die Ueberweisung des Postulates zur Gleichstellung im Schweizer Pass verlieren Sie nichts. Und vergessen Sie nicht: Mehr als die Hälfte der Schweizer Bevölkerung sind Frauen, somit auch mehr als die Hälfte Ihrer Wähler und Wählerinnen. Ich danke für Ihre Zustimmung. Bundesrat Koller: Auch hier hat die Wirklichkeit das Postulat bereits überholt Der Bundesrat hat in Anwendung des Gleich- heitsartikels dem Postulat bereits Rechnung getragen und den Vordruck im Schweizer Pass nicht mehr geschlechtsneu- tral, sondern geschlechtsspezifisch formuliert. (Die Pässe mit dem neuen Vordruck werden ab zirka Februar 1993 an die Kantone abgegeben.) Präsident: Herr Dreher hat seinen Antrag zurückgezogen. Das Postulat ist überwiesen. Ueberwiesen - Transmis #ST# 91.3264 Motion (Leutenegger Oberholzer-)Haering Binder ZGB-Revision. Familienname Nom de famille. Révision du CC Wortlaut der Motion vom 21. Juni 1991 Der Bundesrat wird eingeladen, eine Aenderung des Zivilge- setzbuches einzuleiten, die die Namensregelung bei Ehe- schliessung in dem Sinne ändert, dass Artikel 4 Absatz 2 der Bundesverfassung und damit die gleichen Rechte der Ge- schlechter beachtet werden. Die Revision des ZGB soll dahin gehen, dass eine möglichst grosse Wahlfreiheit der Eheleute gewährleistet ist Als Familiennamen sollen sie sowohl den Namen des Ehemannes als auch der Ehefrau bestimmen kön- nen; ebenso sollte der Verzicht auf einen gemeinsamen Fami- liennamen möglich sein. Texte de la motion du 21 juin 1991 Le Conseil fédéral est chargé de réviser les articles du code ci- vil réglementant le choix du nom defamille lors du mariage afin de faire respecter l'égalité entre femmes et hommes fixée à l'article 4, 2e alinéa, de la constitution. Cette révision devrait laisser aux conjoints la liberté de choisir comme nom de fa- mille soit le nom de l'épouse, soit le nom de l'époux ou encore de renoncer à un nom commun. Mitunterzeichnerinnen - Cosignataires: Bär, Gardiol, Grendel- meier, Stocker (4) Schrittliche Begründung - Développement par écrit Die geltende Namensregelung bei Eheschliessung verletzt den Grundsatz der Gleichberechtigung der Geschlechter. Der Name des Ehemannes wird zum Familiennamen (Art 160 ZGB). Die Braut kann ihren Namen voranstellen. Der Name der Ehefrau kann nur auf Gesuch der Brautleute und beim Vor- liegen achtenswerter Gründe als Familienname gewählt wer- den (Art. 30 ZGB). Diese Namensregelung verletzt Artikel 4 Absatz 2 BV und ist auch im internationalen Vergleich über- holt Eine Revision drängt sich auf. Schriftliche Stellungnahme des Bundesrates vom 6. November 1991 Rapport écrit du Conseil fédéral du 6 novembre 1991 Die Regelung des Familiennamens war bei der Revision des Eherechts, die am 1. Januar 1988 in Kraft getreten ist, einer der umstrittensten Punkte. Das Parlament wollte seinerzeit unter allen Umständen an der Einheit des Familiennamens für Ehe- gatten und Kinder festhalten und war sich im klaren, dass die Regelung des Familiennamens (Art. 160 Abs. 1 und 2, Art 30 Abs. 2 ZGB) Artikel 4 Absatz 2 BV nicht entspricht So soll denn eine zweite Volksinitiative «für gleiche Rechte von Frau und Mann bei der Wahl des Familiennamens (Familien-Initia- tive)» mit Sammelfrist bis zum 30. Oktober 1992 eingereicht werden (BB11991 I1153), nachdem eine erste Initiative mit dem gleichen Zweck nicht zustande gekommen ist (BB11991 11570). Die neue Initiative will an der Einheit des Familienna- mens festhalten, aber den Brautleuten ein Wahlrecht für den Familiennamen einräumen. Die heutige Regelung des Familiennamens entspricht nicht dem Gleichstellungsgebot von Artikel 4 Absatz 2 BV. Zwar be- stimmt Artikel 30 Absatz 2 ZGB, dass das Gesuch der Braut- leute, von der Trauung an den Namen der Ehefrau als Fami- liennamen zu führen, zu bewilligen ist, wenn achtenswerte Gründe vorliegen. Dadurch wird die verfassungsrechtliche Problematik von Artikel 160 Absatz 1 ZGB etwas gemildert, der Grundsatz der Rechtsgleichheit von Mann und Frau aber dennoch nicht voll verwirklicht. Die Einheit des Familiennamens kann sich weit weniger als all- gemein angenommen auf eine alte Rechtstradition berufen. Vor der Einführung des Zivilgesetzbuches haben mehrere Kantone, namentlich in der Westschweiz und das Tessin, die Regelung gekannt, dass Frauen bei ihrer Heirat ihren bisheri- gen Namen behielten. Auch im europäischen Vergleich findet sich der Zwang zu einem einheitlichen Familiennamen immer weniger. Während die skandinavischen Rechtsordnungen den Eheleuten freistellen, ob sie einen gemeinsamen Fami- liennamen annehmen oder ob jeder seinen angestammten Namen beibehalten will, kennen die Familiengesetze des ro- manischen Rechtskreises keinen einheitlichen Familienna- men. So berührt z. B. in Frankreich die Eheschliessung die Namensführung nicht. Lassen sich für die Ehegatten gesetzestechnisch relativ ein- fach verschiedene Varianten finden, entstehen bei der Bestim- mung des Familiennamens der Kinder offensichtliche Pro- bleme. Im Rahmen einer Revision wäre zu prüfen, welche Re- gelung möglich ist, um sowohl dem verfassungsrechtlichen Grundsatz der Rechtsgleichheit zwischen Mann und Frau als auch den familien- und persönlichkeitsrechtlichen Erforder- nissen, einschliesslich einer befriedigenden und praktikablen Lösung für den Familiennamen der Kinder, gebührend Rech- 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