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91.3153 vom 3. Juni 1993</w:t>
      </w:r>
    </w:p>
    <w:p>
      <w:r>
        <w:t>Bundesverwaltung, 1993-06-03, DE</w:t>
      </w:r>
    </w:p>
    <w:p>
      <w:r>
        <w:rPr>
          <w:b/>
        </w:rPr>
        <w:t xml:space="preserve">Quelle: </w:t>
      </w:r>
      <w:r>
        <w:t>https://mcp.opencaselaw.ch/entscheid/ch_vb_91.3153</w:t>
      </w:r>
    </w:p>
    <w:p>
      <w:r>
        <w:t>FR: CH_VB 91.3153 du 3 juin 1993</w:t>
      </w:r>
    </w:p>
    <w:p>
      <w:r>
        <w:t>IT: CH_VB 91.3153 del 3 giugno 1993</w:t>
      </w:r>
    </w:p>
    <w:p>
      <w:pPr>
        <w:pStyle w:val="Heading2"/>
      </w:pPr>
      <w:r>
        <w:t>Erwägungen</w:t>
      </w:r>
    </w:p>
    <w:p>
      <w:r>
        <w:rPr>
          <w:b/>
        </w:rPr>
        <w:t>E. 3</w:t>
      </w:r>
    </w:p>
    <w:p>
      <w:r>
        <w:t>Juni 1993 975 Motion Vollmer serablen Lage, die einem eigentlichen Notstand auf dem Ge- biet der Kriminalstatistik gleichkäme, ist es uns unmöglich, jetzt noch einen weiteren Ausbau der Kriminalstatistik zu be- treiben. Wir werden alle unsere Energien darauf setzen müs- sen, bereits laufende Kriminalstatistiken überhaupt weiterfüh- ren zu können. Das ist leider ein weiterer Grund, weshalb der Bundesrat die- ses Postulat nicht annehmen kann. Abstimmung - Vote Für Ueberweisung des Postulates 27 Stimmen Dagegen 48 Stimmen #ST# 91.3165 Motion Vollmer Ersatzvorkehrungen zur Ablösung der Lex Friedrich Mesures destinées à remplacer la lex Friedrich Wortlaut der Motion vom 10. Juni 1991 Der Bundesrat wird beauftragt, den eidgenössischen Räten ei- nen Bericht und Anträge zu unterbreiten, damit im Hinblick auf die allfällige Verwirklichung eines EWR und/oder einer EG-Mit- gliedschaft die mit der Lex Friedrich anvisierten boden- und wohnbaupolitischen Zielsetzungen durch nationale, Aus- länder nicht diskriminierende Massnahmen erreicht werden können. Texfe de la motion du 10 juin 1991 Le Conseil fédéral est chargé de soumettre aux Chambres un rapport assorti de propositions afin que, dans la perspective d'une éventuelle réalisation d'un EEE et/ou d'une adhésion à la CE, les objectifs que visait la lex Friedrich dans le domaine de la politique foncière et de la politique de construction de lo- gements puissent être atteints moyennant des mesures natio- nales, non discriminatoires à l'égard des étrangers. Mitunterzeichner - Cosignataires: Bäumlin Ursula, Boden- mann, Bundi, Carobbio, Danuser, Eggenberger Georges, Eu- ler, Fankhauser, Haering Binder, Hafner Ursula, Herczog, Hubacher, Jeanprêtre, Lanz, Ledergerber, Leemann, Leuen- berger Ernst, Matthey, Meyer Theo, Pitteloud, Rechsteiner, Ruffy, Stappung, Ulrich, Züger (25) Schriftliche Begründung - Développement par écrit Im Rahmen der Verhandlungen für die Schaffung eines EWR ist schon frühzeitig klar geworden, dass die heutigen Schutz- vorkehren gegenüber ausländischem Grundstückerwerb höchstens noch während einer Uebergangszeit Bestand hal- ten können. Nicht diskriminierende Massnahmen insbeson- dere gegenüber dem zunehmenden Zweitwohnungsbestand sind als Ersatz für die heutige «Lex Friedrich» vordringlich. Mit verbesserten allgemeinen Boden-, Wohnbau- und Raumpla- nungsmassnahmen könnten die vom Bundesrat und dem da- maligen Gesetzgeber definierten, weiterhin gültigen Zielset- zungen zweifellos sogar wirksamer erreicht werden, als die heutigen, gegen Ausländer gerichteten Erwerbsverbote. Schriftliche Stellungnahme des Bundesrates vom 9. Dezember 1991 Rapport écrit du Conseil fédéral du 9 décembre 1991 Der Beitritt der Schweiz zum EWR-Vertrag hätte die Freizügig- keit der Angehörigen der Vertragsstaaten zum Immobilien- markt in unserem Land zur Folge. Für die Freigabe der ge- werbsmässigen Immobiliengeschäfte und blossen Kapitalan- lagen in Grundstücken gälte allerdings eine fünfjährige Ueber- gangsfrist. Ebenso könnten Erwerbsbeschränkungen bei den Ferienwohnungen sicher noch während dieser Frist beibehal- ten werden. Nach Ablauf der Uebergangsfrist könnten über- mässige Immobilieninvestitionen allenfalls gestützt auf die Schutzklausel im Vertrag bekämpft werden. Die Wiedereinfüh- rung diskriminatorischer Massnahmen käme indessen nur als Ultima ratio in Betracht, weil die Vertragspartner berechtigt wä- ren, Gegenmassnahmen zu ergreifen. Unerwünschte Auswirkungen eines Wegfalls der Lex Friedrich müssten deshalb in erster Linie mit nicht diskriminatorischen raumplanerischen sowie eigentums- und wohnbaupolitischen Massnahmen aufgefangen werden. Die Dringlichkeit von Massnahmen hängt aber zunächst vom Gelingen des EWR- Vorhabens ab. Darum beantragt der Bundesrat, die vorlie- gende Motion in das unverbindlichere Postulat umzuwandeln, dem sie übrigens von ihrem Inhalt her näher steht Schriftliche Erklärung des Bundesrates Déclaration écrite du Conseil fédéral Der Bundesrat beantragt, die Motion in ein Postulat umzu- wandeln. Vollmer: Dieser Vorstoss ist gerade zwei Jahre alt, und man muss sich fragen, ob sich die Ausgangslage in der Zwischen- zeit nicht so verändert hat, dass ein Vorstoss überflüssig ge- worden ist. Ich kann mit Ueberzeugung sagen: Dieser Vor- stoss ist heute aktueller denn je. Kurzfristig ist zwar der Druck der Ablösung der Lex Friedrich durch die Ablehnung des EWR-Vertrages in der Schweiz nicht mehr vorhanden. Theore- tisch können wir mit der Lex Friedrich weiterfahren. Wir sind durch das europäische Recht nicht gezwungen, die Lex Fried- rich zu ersetzen. Politisch ist die Ausgangslage völlig anders. Wir erinnern uns, dass uns der Bundesrat vor kurzem in seinem Bericht über die Konsequenzen des negativen Volksentscheides dargelegt hat, dass er in seiner Europapolitik drei Optionen weiterverfol- gen wird: die eine Option, die im Moment im Vordergrund steht und wonach er bilateral verhandeln will; aber auch die zweite Option, mit der er nicht ausschliessen will, dass wir uns später doch noch dem EWR anschliessen; und die dritte Op- tion, nach der auch die Möglichkeit einer Mitgliedschaft in der EG offen bleibt Für alle drei Optionen ist es gerade auch im bodenpolitischen Bereich äusserst wichtig, rechtzeitig Vorkehrungen zu treffen. Es ist ein Akt politischer Klugheit, jetzt - unabhängig vom äus- seren zeitlichen Druck, der durch eine Abstimmung über ei- nen europäischen Vertrag entsteht - gerade in der Lex Fried- rich Anpassungen vorzunehmen. Oder wollen wir etwa die un- komfortable Ausgangslage, wie wir sie vor dem 6. Dezember letzten Jahres gekannt haben, wiederholen, als wir feststellen müssten, dass wir so und so viele innenpolitische Pendenzen hatten? Es ist wichtig, dass wir heute die positive Schlussfolge- rung daraus ziehen und rechtzeitig - im Interesse der Sache, aber auch im Interesse der Transparenz für die Stimmbürger- entsprechende Anpassungen vornehmen, d. h., diese heiklen Dinge unabhängig von einer Europaabstimmung bereinigen und regeln. Schutzvorkehren gegenüber ausländischem Grundstückerwerb gehören zentral zu den innenpolitischen Tendenzen, die in der weiteren Entwicklung zu Europa wichtig sind. Da wir in allen drei Europaszenarien des Bundesrates davon ausgehen müssen, dass wir die heutige Lex Friedrich aufge- ben müssen - wahrscheinlich wird auch im bilateralen Szena- rio dieser Druck auf uns zukommen -, drängen sich jetzt recht- zeitige Anpassungen auf. Es ist deshalb völlig unverständlich, wenn der Bundesrat in seiner schriftlichen Antwort die Dring- lichkeit dieser Reformen einfach nur unter dem Aspekt der EWR-Abstimmung sehen will. Neben diesen aktuellen sprechen aber auch sehr grundsätzli- che Aspekte für die Ueberweisung dieses Vorstosses. Auch der Bundesrat hat mehrmals deutlich dargelegt- ich erinnere an seine Aeusserungen im Zusammenhang mit dem soge- nannten Anschlussprogramm Boden -, dass die Lex Friedrich ihre ursprünglichen Ziele längst nicht mehr erfüllt Der Zweit-</w:t>
      </w:r>
    </w:p>
    <w:p>
      <w:r>
        <w:t>Schweizerisches Bundesarchiv, Digitale Amtsdruckschriften Archives fédérales suisses, Publications officielles numérisées Archivio federale svizzero, Pubblicazioni ufficiali digitali Postulat Haller Familiendramen durch Einsatz der persönlichen militärischen Waffe Postulat Haller Crimes familiaux commis à l'aide de l'arme militaire personnelle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91.3153 Numéro d'objet Numero dell'oggetto Datum 03.06.1993 - 15:00 Date Data Seite 974-975 Page Pagina Ref. No 20 022 772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