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91.3139 vom 26. September 1991</w:t>
      </w:r>
    </w:p>
    <w:p>
      <w:r>
        <w:t>Bundesverwaltung, 1991-09-26, DE</w:t>
      </w:r>
    </w:p>
    <w:p>
      <w:r>
        <w:rPr>
          <w:b/>
        </w:rPr>
        <w:t xml:space="preserve">Quelle: </w:t>
      </w:r>
      <w:r>
        <w:t>https://mcp.opencaselaw.ch/entscheid/ch_vb_91.3139</w:t>
      </w:r>
    </w:p>
    <w:p>
      <w:r>
        <w:t>FR: CH_VB 91.3139 du 26 septembre 1991</w:t>
      </w:r>
    </w:p>
    <w:p>
      <w:r>
        <w:t>IT: CH_VB 91.3139 del 26 settembre 1991</w:t>
      </w:r>
    </w:p>
    <w:p>
      <w:pPr>
        <w:pStyle w:val="Heading2"/>
      </w:pPr>
      <w:r>
        <w:t>Erwägungen</w:t>
      </w:r>
    </w:p>
    <w:p>
      <w:r>
        <w:rPr>
          <w:b/>
        </w:rPr>
        <w:t>E. 26</w:t>
      </w:r>
    </w:p>
    <w:p>
      <w:r>
        <w:t>septembre 1991 avons une loi en préparation qui va dans la direction d'une har- monisation minimale. En ce qui concerne le logement, Monsieur Piller, un certain nombre de solutions ont été trouvées spécifiquement en fonc- tion de la famille. Les mesures en vigueur permettent de faire des distinctions très nettes entre les familles et les personnes seules; on peut se demander si cette situatioin est encore dé- fendable face au renchérissement qui vaut pour tout le monde. Le Conseil fédéral a avancé des idées et des propositions qui devraient permettre une amélioration de la situation. Bien sûr, ce secteur est certainement l'un de ceux où, objectivement, les solutions aux problèmes sont les plus difficiles. En ce qui concerne les «Familienzulagen», je rappelle - vous l'avez d'ailleurs évoqué vous-même - que les décisions s'op- posant à une harmonisation ou à une centralisation de ce do- maine ont été prises par le Parlement. Il faut le reconnaître, Monsieur Piller, à la suite des décisions des Chambres fédéra- les de 1986, plusieurs cantons - et il est inutile que je vous en fasse la liste exacte -ont pris eux-mêmes des initiatives, ce qui témoigne que, dans différents cantons, cette volonté existe. Pourtant, c'est un problème social de caractère national et je conviens qu'il devra être réétudié. S'agissant des prestations aux familles ayant des enfants en bas âge, le discours est plus nouveau et je conviens qu'il de- vrait être entrepris quelque chose, mais nous sommes encore bien éloignés d'une solution concrète. Pour terminer, vous proposez une loi fédérale globale et géné- rale pour le soutien des familles avec enfants; c'est une idée qui mérite un approfondissement. Bien sûr, le Conseil fédéral ne pourrait pas vous dire aujourd'hui qu'il est prêt à partir dans cette direction. Au contraire, un examen est nécessaire face à l'état d'avancement des travaux pour les problèmes que vous avez évoqués, face à la nouveauté que constituerait une éven- tuelle future loi fédérale, le Conseil fédéral ne peut proposer au Conseil des Etats que la transformation de la motion en un postulat, tout en reconnaissant qu'il s'agit de problèmes réels et effectifs, ce qui n'est pas du tout nié par le Conseil fédéral. Piller: In Anbetracht der gelichteten Reihen bin ich dazu be- reit. Ich wollte eigentlich über den Punkt 2 abstimmen lassen; denn dieser Punkt der Familienzulagenregelung hätte es ver- dient, dass man hier in diesem Rat einmal abstimmt darüber, wie sich die Standesherren dazu stellen. Aber in Anbetracht der gelichteten Reihen möchte ich darauf verzichten. Es könnte ein Zufallsresultat geben. Ich bin heute kurz vor Ab- reise bereit, das zu akzeptieren. Ueberwiesen als Postulat- Transmis comme postulat #ST# 88.048 Waldgesetz Loi sur les forêts Differenzen - Divergences Siehe Seite 546 hiervor-Voir page 546 ci-devant Beschlussdes Nationalrates vom 18. September 1991 Décision du Conseil national du 18 septembre 1991 Ziegler, Berichterstatter: Der Nationalrat hat uns aus seiner Sitzung vom 18. September noch sechs Differenzen hinterlas- sen. Bei einer Mehrzahl dieser Differenzen handelt es sich al- lerdings um solche, die eigentlich nicht schwer zu gewichten sind. Es sind eher Schönheitsfehler, für deren Beseitigung es sich kaum lohnt, Geist und Gewicht einzusetzen. Vielleicht sind es sogar nur kleine Tribute an den Wahlkampf. Solche Schönheitsfehler müssen wohl in Zeiten des Wahlkampfs in Kauf genommen werden. Art. 9 Antrag der Kommission Zustimmung zum Beschluss des Nationalrates Proposition de la commission Adhérer à la décision du Conseil national Ziegler, Berichterstatter: Die erste Differenz befindet sich in Ar- tikel 9, der vom Bundesrat unter dem Titel «Mehrwertabschöp- fung» ins Rennen gebracht wurde. Die Mehrwertabschöpfung ist aber umfassend im Raumplanungsgesetz geregelt. Diese im Raumplanungsgesetz geschaffene Regelung gilt auch für den Wald. Die Regelung geht dahin, dass die Kantone zustän- dig sind, die Mehrwertabschöpfung zu regeln. Es soll ein an- gemessener Ausgleich für erhebliche, durch Planungen ent- stehende Vor- und Nachteile erfolgen. Auf eine Regelung der gleichen Materie im Waldgesetz, nur für den Wald, sollte ver- zichtet werden, dies insbesondere auch deshalb, weil für Ro- dungen eine Ersatzabgabe zu leisten ist, wenn auf gleichwerti- gen Realersatz - Ersatzaufforstung - verzichtet wird. Ich ver- weise diesbezüglich auf den vom Ständerat eingefügten Arti- kel 8bis. Die zusätzliche Regelung im Waldgesetz ist eine Wiederho- lung dessen, was bereits im Raumplanungsgesetz steht. Auf jeden Fall darf der Waldeigentümer nicht schlechter gestellt werden als jeder andere Bodeneigentümer. Dies ist auch ein Erfordernis der Rechtsgleichheit. Obwohl diese doppelte Re- gelung - ich habe es bereits erwähnt- ein Schönheitsfehler im Waldgesetz ist, beantragt Ihnen die Kommission, dem Natio- nalrat zuzustimmen. Angenommen -Adopté Art. 12 Antrag der Kommission Titel Einbezug von Wald in Nutzungspläne Abs. 1,3 Streichen Abs. 2 Die Zuweisung von Wald zu einer Nutzungszone bedarf einer Rodungsbewilligung. Art. 12 Proposition de la commission Titre Insertion des forêts dans les plans d'affectation Al. 1,3 Biffer Al. 2 Ne concerne que le texte allemand Ziegler, Berichterstatter: In Artikel 12 sind eigentlich zwei Dif- ferenzen. Auf Drängen der Nationalratskommission und auch wegen Referendumsdrohungen erklärte sich Ihre Kommis- sion bereit, auf Artikel 12 zurückzukommen, obwohl formell keine Differenz bestand. Bei Artikel 12 geht es darum, Wald in das Richtplanverfahren einzubeziehen, wenn aufgrund einer umfassenden Inter- essenabwägung Anlass besteht, später eine Nutzungszone auszuscheiden. Entgegen einer nach wie vor verbreiteten Mei- nung wird nicht in Absatz 1 von Artikel 12 die Kompetenz be- gründet, Vorhaben einer künftigen anderweitigen Nutzung von Waldareal in Richtplänen auszuscheiden; diese Kompe- tenz ist vielmehr - auch in bezug auf den Wald - bereits in Arti- kel 6f. im Raumplanungsgesetz begründet. Der Nationalrat hat nun Artikel 12 Absatz 1 modifiziert und ei- nen neuen Absatz 3 hinzugefügt. Damit bringt er zum Aus- druck, dass eine Richtplanung, wo sie den Wald betrifft - ent- gegen der allgemeingültigen Regelung im Raumplanungsge- setz -, für die Nutzungsplanung präjudizierend sein soll. Nur so kann der Hinweis auf Artikel 6 des Waldgesetzes verstan- den werden.</w:t>
      </w:r>
    </w:p>
    <w:p>
      <w:r>
        <w:t>Schweizerisches Bundesarchiv, Digitale Amtsdruckschriften Archives fédérales suisses, Publications officielles numérisées Archivio federale svizzero, Pubblicazioni ufficiali digitali Motion Piller Förderung von Familien mit Kindern Motion Piller Politique d'aide aux familles avec enfants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08 Séance Seduta Geschäftsnummer 91.3139 Numéro d'objet Numero dell'oggetto Datum 26.09.1991 - 08:00 Date Data Seite 801-804 Page Pagina Ref. No 20 020 576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