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91.3115 vom 21. Juni 1991</w:t>
      </w:r>
    </w:p>
    <w:p>
      <w:r>
        <w:t>Bundesverwaltung, 1991-06-21, DE</w:t>
      </w:r>
    </w:p>
    <w:p>
      <w:r>
        <w:rPr>
          <w:b/>
        </w:rPr>
        <w:t xml:space="preserve">Quelle: </w:t>
      </w:r>
      <w:r>
        <w:t>https://mcp.opencaselaw.ch/entscheid/ch_vb_91.3115</w:t>
      </w:r>
    </w:p>
    <w:p>
      <w:r>
        <w:t>FR: CH_VB 91.3115 du 21 juin 1991</w:t>
      </w:r>
    </w:p>
    <w:p>
      <w:r>
        <w:t>IT: CH_VB 91.3115 del 21 giugno 1991</w:t>
      </w:r>
    </w:p>
    <w:p>
      <w:pPr>
        <w:pStyle w:val="Heading2"/>
      </w:pPr>
      <w:r>
        <w:t>Erwägungen</w:t>
      </w:r>
    </w:p>
    <w:p>
      <w:r>
        <w:rPr>
          <w:b/>
        </w:rPr>
        <w:t>E. 21</w:t>
      </w:r>
    </w:p>
    <w:p>
      <w:r>
        <w:t>September 1988 (88.586, vgl. ad Ziff. 10) und auf die Frage Bäumlin Ursula vom 25. September 1989 hatte der Bundesrat bereits zweimal seiner Auffassung Ausdruck gegeben, dass es nicht opportun sei, beim Europarat eine Beschwerde ge- gen die Türkei einzureichen. In der letzten Antwort hatte der Bundesrat auch versprochen, die Frage wieder zu prüfen, wenn die Menschenrechtslage sich nicht in einem günstigen Sinn entwickeln sollte. Die von schweren Unruhen geprägte Situation im Südosten der Türkei hat sich seit dem Frühjahr 1990 merklich ver- schlechtert, als Folge einer massiven Zunahme der Guerilla- Aktionen der PKK sowie von militärischen Operationen der tür- kischen Armee. Es ist vor allem die Bevölkerung kurdischen Ursprungs, die darunter leidet. Sie ist Opfer zahlreicher Ueber- griffe, welche von den anwesenden Truppen begangen wer- den. Wie Artikel 15 der Europäischen Menschenrechtskonvention (EMRK) «im Falle eines Krieges oder eines anderen öffentli- chen Notstandes, der das Leben der Nation bedroht» aus- drücklich erlaubt, hat die türkische Regierung am 10. Mai 1990 Massnahmen getroffen, welche die in der EMRK enthaltenen Verpflichtungen derogieren, indem sie den in dieser Region bereits geltenden Notstand verschärften und ausdehnten. Ge- mäss derselben Bestimmung der EMRK hat die türkische Re- gierung am 23. August 1990 dem Europarat diese Massnah- men notifiziert. Nach zahlreichen Informationen aus verschiedenen Quellen haben die Verschlimmerung der politisch-militärischen Situa- tion im Südosten Anatoliens sowie die Ausdehnung und Ver- schärfung des Notstandes in dieser Region zahlreiche Men- schenrechtsverletzungen mit sich gebracht. Der massive Zu- strom irakischer Kurden in dieses Gebiet im letzten März/April hat nicht zu einer Entspannung der Lage beigetragen. Besonders im letzten Jahr intervenierten die Bundesbehörden mehrmals bei den türkischen Behörden zugunsten der Ach- tung der Menschenrechte, namentlich jener der kurdischen Bevölkerung (vgl. Antwort auf die dringlichen Interpellationen 90.886 und 90.897 der grünen Fraktion und der sozialdemo- kratischen Fraktion vom 26. und 27. November 1990, ad Ziff. 2). Die Interventionen haben in diesem Zusammenhang an die unabdinglichen Voraussetzungen für Frieden und Si- cherheit in dieser Region erinnert. Dies sind einerseits die Ach- tung der Rechte der dort ansässigen Menschen, darin Inbe- griffen die spezifischen Rechte der Minderheit kurdischen Ur- sprungs und ihrer Angehörigen, besonders das Recht, ihre ei- gene Sprache öffentlich zu gebrauchen und zu lehren, sowie das Recht auf ihr eigenes kulturelles Leben; andererseits wirt- schaftlicher und sozialer Fortschritt in dieser unterentwickel- ten Region. Es bleibt darauf hinzuweisen, dass das EDA daran ist, für den östlichen Teil der Türkei ein Programm der Entwick- lungszusammenarbeit zu prüfen, welches hauptsächlich die Schaffung von Arbeitsplätzen zum Ziel hat. Das EVD prüft auch die Möglichkeit der Vergabe eines Mischkredites oder anderer Formen der Finanzhilfe. Bei seinem Besuch in Ankara vom 4. bis 6. April dieses Jahres hat der Departementschef die Haltung der Schweiz zur Frage der Menschenrechte in der Türkei erneut bekräftigt. Am 12. April 1991 sind die Artikel 140 bis 142 und 163 des türki- schen Strafgesetzbuches, welche eine Reihe von Meinungs- delikten unter schwere Strafe - sogar unter Todesstrafe - stell- ten, sowie das Gesetz Nr. 2932, welches den Gebrauch der kurdischen Sprache verboten hatte, ausser Kraft gesetzt wor- den. Das gleichzeitig erlassene Anti-Terror-Gesetz schwächt den Schutz der Menschenrechte jener Personen, welche des «Terrorismus» - durch das Gesetz sehr breit definiert - ver- dächtigt werden. Wie sich diese Revisionen in der Praxis aus- wirken werden, wird sich erst weisen. Ebenfalls am 12. April wurde eine Teilamnestie erlassen, welche zur Freilassung von 46 000 Personen, darunter eine unbekannte Zahl politischer Gefangener, führen soll. Auf internationaler Ebene ist darauf hinzuweisen, dass die Tür- kei 1987 das Individualbeschwerderecht vor der Europäi- schen Menschenrechtskommission sowie 1990 die obligatori- sche Gerichtsbarkeit des Europäischen Gerichtshofs für Men- schenrechte anerkannt hat. Dies sowie der erste Besuch des europäischen Ausschusses zur Verhütung von Folter im Herbst 1990 in den türkischen Haftanstalten sollten zu einem besseren Schutz der Menschenrechte, im besonderen zum Schütze vor Folter, beitragen. Zusammenfassend ist festzustellen, dass die Lage in der Tür- kei im Vergleich mit der äusserst problematischen Menschen- rechtslage unter dem Ausnahmezustand, welcher 1980 vom militärischen Regime über das ganze Land verhängt worden war, unter der Zivilregierung seit 1983 eine relativ günstige Ent- wicklung erfahren hat, mit Ausnahme des Südostens des Lan- des, wo sie sich seit dem vergangenen Jahr verschlechtert hat. Der Bundesrat wird weiterhin zugunsten von Personen, deren Rechte in der Türkei verletzt werden, intervenieren und parallel dazu mit der türkischen Regierung einen kontinuierlichen Dia- log führen, welcher auf der Ueberzeugung beruht, dass Rechtsstaatlichkeit und Respektierung der Menschenrechte als Faktoren von Gerechtigkeit, Gleichheit und Freiheit essen- tielle Komponenten einer pluralistischen Demokratie sind und</w:t>
      </w:r>
    </w:p>
    <w:p>
      <w:r>
        <w:t>Schweizerisches Bundesarchiv, Digitale Amtsdruckschriften Archives fédérales suisses, Publications officielles numérisées Archivio federale svizzero, Pubblicazioni ufficiali digitali Motion Seiler Hanspeter Leistungen der Seilbahnen für den öffentlichen Verkehr Motion Seiler Hanspeter Téléphériques et prestations de service public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91.3115 Numéro d'objet Numero dell'oggetto Datum 21.06.1991 - 08:00 Date Data Seite 1339-1340 Page Pagina Ref. No 20 020 052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