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91.3001 vom 21. Juni 1991</w:t>
      </w:r>
    </w:p>
    <w:p>
      <w:r>
        <w:t>Bundesverwaltung, 1991-06-21, DE</w:t>
      </w:r>
    </w:p>
    <w:p>
      <w:r>
        <w:rPr>
          <w:b/>
        </w:rPr>
        <w:t xml:space="preserve">Quelle: </w:t>
      </w:r>
      <w:r>
        <w:t>https://mcp.opencaselaw.ch/entscheid/ch_vb_91.3001</w:t>
      </w:r>
    </w:p>
    <w:p>
      <w:r>
        <w:t>FR: CH_VB 91.3001 du 21 juin 1991</w:t>
      </w:r>
    </w:p>
    <w:p>
      <w:r>
        <w:t>IT: CH_VB 91.3001 del 21 giugno 1991</w:t>
      </w:r>
    </w:p>
    <w:p>
      <w:pPr>
        <w:pStyle w:val="Heading2"/>
      </w:pPr>
      <w:r>
        <w:t>Erwägungen</w:t>
      </w:r>
    </w:p>
    <w:p>
      <w:r>
        <w:rPr>
          <w:b/>
        </w:rPr>
        <w:t>E. 21</w:t>
      </w:r>
    </w:p>
    <w:p>
      <w:r>
        <w:t>Januar 1991 zum Golfkonflikt, in derjenigen auf das Postu- lat Dietrich vom 23. Januar desselben Jahres betreffend eine internationale Konferenz und derjenigen auf die Motion Bäum- lin über eine neue schweizerische Politik im Mittleren Osten. Was die Massnahmen des Bundesrates zur Errichtung eines stabilen und dauerhaften Friedenssystems in dieser Region betrifft, ist er davon überzeugt, dass die Probleme im Nahen Osten in erster Linie von den dortigen Völkern selbst gelöst werden müssen. Dennoch wird die Schweiz weiterhin versu- chen, im Rahmen ihrer traditionellen Politik der Disponibilität</w:t>
      </w:r>
    </w:p>
    <w:p>
      <w:r>
        <w:t>Schweizerisches Bundesarchiv, Digitale Amtsdruckschriften Archives fédérales suisses, Publications officielles numérisées Archivio federale svizzero, Pubblicazioni ufficiali digitali Postulat Hubacher Bericht über Neutralität Postulat Hubacher Rapport sur la neutralité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91.3001 Numéro d'objet Numero dell'oggetto Datum 21.06.1991 - 08:00 Date Data Seite 1341-1342 Page Pagina Ref. No 20 020 055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