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90.964 vom 13. Dezember 1991</w:t>
      </w:r>
    </w:p>
    <w:p>
      <w:r>
        <w:t>Bundesverwaltung, 1991-12-13, DE</w:t>
      </w:r>
    </w:p>
    <w:p>
      <w:r>
        <w:rPr>
          <w:b/>
        </w:rPr>
        <w:t xml:space="preserve">Quelle: </w:t>
      </w:r>
      <w:r>
        <w:t>https://mcp.opencaselaw.ch/entscheid/ch_vb_90.964</w:t>
      </w:r>
    </w:p>
    <w:p>
      <w:r>
        <w:t>FR: CH_VB 90.964 du 13 décembre 1991</w:t>
      </w:r>
    </w:p>
    <w:p>
      <w:r>
        <w:t>IT: CH_VB 90.964 del 13 dicembre 1991</w:t>
      </w:r>
    </w:p>
    <w:p>
      <w:pPr>
        <w:pStyle w:val="Heading2"/>
      </w:pPr>
      <w:r>
        <w:t>Erwägungen</w:t>
      </w:r>
    </w:p>
    <w:p>
      <w:r>
        <w:rPr>
          <w:b/>
        </w:rPr>
        <w:t>E. 13</w:t>
      </w:r>
    </w:p>
    <w:p>
      <w:r>
        <w:t>décembre 1991 Im Gegensatz zu den fossilen Energieträgern ist die Holzener- gie C02-neutral: die heranwachsenden Bäume binden die- selbe Menge C02, welche bei der Verbrennung oder bei der Verrottung im Wald freigesetzt wird. Bei der Holzverbrennung entstehen praktisch keine Schwefeldioxid- (S02) und Schwer- nnetallemissionen, die Kohlenwasserstoff- (HC), Kohlenmon- oxid- (CO) und Partikelemissionen können bei vollständiger Verbrennung tief gehalten werden. Die vergleichweise höhe- ren Stickoxid- (NOX-)Emissionen der Holzfeuerungen sind nur mit einem Anteil von knapp 1 Prozent an den gesamtschwei- zerischen NO^-Emissionen beteiligt Aufgrund der heutigen Waldbewirtschaftung kann der gegen- wärtige Anteil der Holzenergie von 1,5 Prozent am Gesamt- energieverbrauch verdoppelt bis verdreifacht werden. Die Holzenergienutzung trägt auch zur Beseitigung von Alt- und Flestholz und somit zur Entlastung von Kehrichtverbrennungs- anlagen und Deponien bei. Die Substitution fossiler Energieträger durch erneuerbare Holzenergie entspricht den Zielen von Artikel 11 bis Energie- nutzungsbeschluss (Minderung der Luftverunreinigung und der Belastung mit Kohlendioxid sowie eine rationelle Energie- verwendung). Auch aus volkswirtschaftlicher Sicht lohnt sich eine vermehrte Nutzung der Holzenergie: die regionale und lo- kale Wertschöpfung ist bedeutend höher als bei der Nutzung fossiler Brennstoffe. Die Bereitstellung des Energieholzes und der Unterhalt der Anlagen lösen lokale Investitionen aus. Für wirtschaftliche Randregionen, wo das Holz zu einem guten Teil anfällt und sinnvollerweise auch energetisch genutzt wer- den sollte, kann dies für die weitere wirtschaftliche Entwick- lung von Bedeutung sein. Schriftliche Stellungnahme des Bundesrates von November 1991 (Siehe Seite 2082 hiervor) Rapport écrit du Conseil fédéral de novembre 1991 (Voir page 2088 ci-devant) Wir verweisen auf Teil II, Ziffer 13 unserer Stellungnahme. Schriftliche Erklärung des Bundesrates Déclaration écrite du Conseil fédéral Der Bundesrat beantragt, die Motion in ein Postulat umzuwan- deln. Ueberwiesen als Postulat- Transmis comme postulat #ST# 91.3194 Motion Cavadini Adriano Gleichstellung der italienischen Sprache in der Bundesverwaltung Mozione Cavadini Adriano Parità dell'italiano nell'amministrazione federale Motion Cavadini Adriano Parité dans l'administration entre l'italien et les autres langues officielles Wortlaut der Motion vom 19. Juni 1991 Die Tessiner Deputation verlangt, dass der Bundesrat für die Departemente und ihre Aemter und Dienste sowie für die Re- giebetriebe, die Eidgenössischen Technischen Hochschulen und ganz allgemein für alle Stellen, die vom Bund abhängen, Weisungen erlässt, die es erlauben, die italienische Sprache den beiden ändern Amtssprachen gleichzustellen. Insbesondere, und es sind nur Beispiele, verlangen wirfolgen- des: 1. Das Eidgenössische Personalami erstellt für jede Sprach- gruppe eine Statistik, die über Zahl und Funktion der ihr ange- hörenden Beamten Auskunft gibt. 2. Es sind vermehrt Beamte italienischer Muttersprache anzu- stellen, damit die italienische Sprachgruppe in allen genann- ten Verwaltungseinheiten besser vertreten ist, und zwar auch im mittleren und höheren Kader und vor allem dort, wo die Be- schlüsse des Staates vorbereitet und vollzogen werden. Dies sollte unter anderenrerlauben, Beamte italienischer Mutter- sprache in denjenigen Aemtern und Sektionen zu plazieren, die mit der Verwaltung des Kantons Tessin oder mit Italie- nisch-Bünden in engem und regelmässigem Kontakt stehen oder häufig mit italienischen Stellen verkehren. 3. Die Texte des Bundes, vor allem diejenigen, die der Bun- desrat oder die Departemente in die Vernehmlassung schicken, müssen gleichzeitig auch in italienischer Sprache versandt werden. Zudem ist es uneirlässlich, dass die Stel- lungnahmen aus der italienischen Schweiz von einem Beam- ten behandelt werden, der gu^ Italienisch kann, oder in die Sprache der Beamten übersetzt werden, die sich damit zu befassen haben. 4. In den Stellenausschreibungen muss nicht nur die Kenntnis der deutschen, der französischen und allenfalls der engli; sehen, sondern auch der italienischen Sprache verlangt wer- den. 5. Alle Dokumente und Veröffentlichungen von gesamt- schweizerischem und allgemeinem Interesse sind ins Italieni- sche zu übersetzen (zum Beispiel die Berichte von Konsulta- tiv- oder Expertenkommissionen, die Zeitschrift «Die Volkswirt- schaft»). 6. Wie stellt sich der Bundesrat zur Einführung eines Quoten- systems, das für die ganze Bundesverwaltung den Anteil der Vertreter der Sprachminderheiten festlegt, wie man dies im Departement des Innern getan hat (70 Prozent deutschspra- chige, 20 Prozent französischsprachige und 10 Prozent italie- nischsprachige Beamte)? Die Tessiner Deputation verlangt ausserdem, dass der Bun- desrat dafür sorgt, dass: - eine aus Parlamentariern oder aus Parlamentariern und Ver- waltungsangehörigen zusammengesetzte Kommission oder allenfalls ein Ombudsmann kontrolliert, ob die Weisungen be- folgt werden, insbesondere bei der Besetzung von Bundes- stellen; -die Schaffung einer zweisprachigen Schule in Bern (Deutsch/Französisch-ltalienisch) vom Bund direkt gefördert wird. Testo della mozione del 19 giugno 1991 La Deputazione ticinese chiede che il Consiglio federale im- partisca ai Dipartimenti e ai loro uffici e servizi, nonché alle Regìe, ai Politecnici federali e in genere a tutti gli organismi che dipendono dalla Confederazione, direttive che consentano di equiparare l'italiano alle altre due lingue ufficiali. In particolare, e a titolo di esempio, si chiede: 1. che venga allestita dall'Ufficio federale del personale una statistica per ciascuna componente linguistica che consenta di conoscere il numero dei funzionar! non solo quantitativa- mente, ma anche secondo la funziono esercitata; 2. che venga intensificata l'assunzione di funzionar! di lingua materna italiana, in modo da ottenere una presenza più mas- siccia di questa componente linguistica in tutti gli uffici e servizi precitati, anche in quelli dove si prepara la volontà dello Stato e la si esegue, anche a livello medio-alto. Ciò dovrebbe pure consentire di inserire dei funzionar! di lingua italiana negli Uffici o sezioni che sono a stretto e regolare contatto specialmente con l'amministrazione ticinese e del Grigioni italiano o che hanno relazioni frequenti con l'Italia; 3. che i testi federali, in particolare per le procedure di consul- tazione promosse dal Consiglio federale o dai suoi Diparti- menti, siano trasmessi simultaneamente anche in italiano. Inoltre è indispensabile che le risposte della Svizzera italiana redatte in italiano siano, nell'amministrazione federale, trattate da un funzionario che conosca bene l'italiano o tradotte nella lingua delle persone incaricate di trattarle;</w:t>
      </w:r>
    </w:p>
    <w:p>
      <w:r>
        <w:t>Schweizerisches Bundesarchiv, Digitale Amtsdruckschriften Archives fédérales suisses, Publications officielles numérisées Archivio federale svizzero, Pubblicazioni ufficiali digitali Motion Bürgi Massnahmen zur Förderung der Holzenergienutzung Motion Bürgi Le bois, source d'énergie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90.964 Numéro d'objet Numero dell'oggetto Datum 13.12.1991 - 08:00 Date Data Seite 2489-2490 Page Pagina Ref. No</w:t>
      </w:r>
    </w:p>
    <w:p>
      <w:r>
        <w:rPr>
          <w:b/>
        </w:rPr>
        <w:t>E. 20</w:t>
      </w:r>
    </w:p>
    <w:p>
      <w:r>
        <w:t>020 732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