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90.858 vom 14. Dezember 1990</w:t>
      </w:r>
    </w:p>
    <w:p>
      <w:r>
        <w:t>Bundesverwaltung, 1990-12-14, DE</w:t>
      </w:r>
    </w:p>
    <w:p>
      <w:r>
        <w:rPr>
          <w:b/>
        </w:rPr>
        <w:t xml:space="preserve">Quelle: </w:t>
      </w:r>
      <w:r>
        <w:t>https://mcp.opencaselaw.ch/entscheid/ch_vb_90.858</w:t>
      </w:r>
    </w:p>
    <w:p>
      <w:r>
        <w:t>FR: CH_VB 90.858 du 14 décembre 1990</w:t>
      </w:r>
    </w:p>
    <w:p>
      <w:r>
        <w:t>IT: CH_VB 90.858 del 14 dicembre 1990</w:t>
      </w:r>
    </w:p>
    <w:p>
      <w:pPr>
        <w:pStyle w:val="Heading2"/>
      </w:pPr>
      <w:r>
        <w:t>Erwägungen</w:t>
      </w:r>
    </w:p>
    <w:p>
      <w:r>
        <w:rPr>
          <w:b/>
        </w:rPr>
        <w:t>E. 14</w:t>
      </w:r>
    </w:p>
    <w:p>
      <w:r>
        <w:t>décembre 1990 - le système anachronique des contingents - des prescriptions de qualité trop laxistes. Nous posons les questions suivantes au Conseil fédéral: 1. Peut-il nous donner le calendrier et le contenu de ses répon- ses aux exigences claires transmises par le souverain? 2. Envisage-t-il - d'utiliser les possibilités que lui donne déjà l'article 23 de la loi sur l'agriculture pour modifier le système de contingente- ment? - de modifier le Statut du vin et l'Ordonnance sur les denrées alimentaires afin d'accorder les trois législations? - d'inclure des prescriptions minimales pour la limitation de la production au m2 (par exemple 1,4 kg/m2 pour le blanc et 1,2 kg/m2 pour le rouge), en plus des degrés Oechslé mini- maux? - d'élargir les commissions régionales afin qu'elles devien- nent tripartites et paritaires, incluant des représentants des consommateurs? Mitunterzeichner - Cosignataires: Aguet, Allenspach, Auer, Baerlocher, Bär, Béguelin, Biel, Bircher Silvio, Bodenmann, Borei, Brügger, Bundi, Carobbio, David, Diener, Dünki, Eg- genberg-Thun, Eggenberger Georges, Eisenring, Engler, Fierz, Grassi, Haering Binder, Hafner Rudolf, Hubacher, Jae- ger, Jeanprêtre, Kühn, Lanz, Ledergerber, Leuenberger-Solo- thurn, Leuenberger Moritz, Leutenegger Obemolzer, Loeb, Longet, Maeder, Meier-Glattfelden, Müller-Aargau, Neu- komm, Nussbaumer, Pitteloud, Portmann, Rebeaud, Rech- steiner, Salvioni, Schmid, Seiler Rolf, Spielmann, Stamm, Stappung, Steffen, Stocker, Thür, Uchtenhagen, Ulrich, Voll- mer, Weder-Basel, Widmer, Wiederkehr, Zbinden Hans, Zie- gler, Züger (62) Schriftliche Begründung - Développement par écrit L'auteur renonce au développement et demande une réponse écrite. Schriftliche Stellungnahme des Bundesrates vom 3. Dezember 1990 Rapport écrit du Conseil fédéral du 3 décembre 1990 1. Les travaux pour un nouvel arrêté fédéral sur la viticulture sont en cours. Un avant-projet est en discussion traitant des trois chapitres contestés dans l'arrêté rejeté de 1989, soit les questions concernant l'importation, la qualité et la maîtrise de la récolte. Le projet définitif terminé, il sera mis en consultation auprès des organisations professionnelles intéressées, des cantons et des partis politiques. Le calendrier prévu est le sui- vant: - début 1991, mise en consultation du rapport concernant un projet d'arrêté fédéral sur la viticulture; - mai à août 1991, mise en valeur des résultats de la consulta- tion et préparation du message à l'attention du Parlement; - septembre/octobre 1991, proposition au Conseil fédéral et adoption du message; - décembre 1991 et mars 1992 ou mars et juin 1992, délibéra- tions au Parlement. 2. L'ensemble des questions relatives à l'importation ne peu- vent être discutées et résolues qu'en tenant compte des résul- tats des négociations en cours au GATT ainsi que dans le ca- dre de l'EEE. Le Conseil fédéral est, le cas échéant, prêt à utili- ser les possibilités que lui donne l'article 23 de la loi sur l'agri- culture en matière d'importation. Les travaux de modification du chapitre «vin» de l'ordonnance sur les denrées alimentaires sont menés parallèlement à ceux de l'arrêté fédéral sur la viticulture. L'Office fédéral de la santé publique a nommé un petit groupe de travail chargé d'élabo- rer un projet. Quant au Statut du vin, il ne pourra être révisé qu'après l'adoption du nouvel arrêté fédéral, car un certain nombre de ses dispositions se fondent sur les bases légales de ce dernier. Le Conseil fédéral a toutefois la volonté d'accor- der l'ensemble des législations viticoles. Concernant l'adaptation de la production aux débouchés, le Conseil fédéral ne s'est pas encore prononcé sur la méthode. Deux solutions sont possibles: la solution dite souple, permet- tant de tenir compte, lors de la fixation de quotas, de la situa- tion du marché, des stocks;, du climat de l'année et de l'hétéro- généité de nos vignobles, ou alors de la solution «rigide» telle que proposée. Le Conseil fédéral se déterminera après la pro- cédure de consultation. Les commissions régionales doivent en premier lieu être cons- tituées de membes des organisations professionnelles con- cernées. Toutefois, afin d'augmenter la transparence des déci- sions, la participation de représentants des consommateurs peut être envisagée. Präsident: Die Interpellantin ist von der Antwort des Bundes- rates teilweise befriedigt. Sàe verlangt Diskussion. Abstimmung - Vote Für den Antrag auf Diskuss ion 42 Stimmen Dagegen 28 Stimmen Verschoben -Renvoyé #ST# 90.527 Interpellation der sozialdemokratischen Fraktion Verhandlungen mit Kernkraftwerk Graben Interpellation du groupe socialiste Pourparlers avec la Centrale nucléaire de Graben Wortlaut der Interpellation vom 6. Juni 1990 Der Bundesrat ist schon seit längerer Zeit mit der Kernkraft- werk Graben AG im Gespräch über einen allfälligen Verzicht des geplanten Kernkraftwerks in Graben. Regierung und Par- lament des Kantons Bern haben sich gegen den Bau von Gra- ben ausgesprochen. Inzwischen ist im Nationalrat eine Motion eingereicht worden, in welcher der Bundesrat beauftragt wird, die Kernkraftwerk Graben AG für Aufwendungen und Ver- pflichtungen zu entschädigen, die von ihr in guten Treuen ge- macht und eingegangen worden sind. Während Bund und Kernkraftwerk Graben AG sich in der Frage einer allfälligen Entschädigung den Ball hin und her schieben, hat der Bundesrat bis heute zur eigentlichen Grund- satzfrage, ob auf den Bau von Graben verzichtet werden soll oder nicht, noch keine klare Stellungnahme abgegeben. Da die Oeffentlichkeit im Hinblick auf die Volksabstimmung vom 23. September 1990 in dieser Frage weiterhin im Unge- wissen ist, bitten wir den Eiundesrat, die folgenden Fragen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