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90.826 vom 13. Dezember 1991</w:t>
      </w:r>
    </w:p>
    <w:p>
      <w:r>
        <w:t>Bundesverwaltung, 1991-12-13, DE</w:t>
      </w:r>
    </w:p>
    <w:p>
      <w:r>
        <w:rPr>
          <w:b/>
        </w:rPr>
        <w:t xml:space="preserve">Quelle: </w:t>
      </w:r>
      <w:r>
        <w:t>https://mcp.opencaselaw.ch/entscheid/ch_vb_90.826</w:t>
      </w:r>
    </w:p>
    <w:p>
      <w:r>
        <w:t>FR: CH_VB 90.826 du 13 décembre 1991</w:t>
      </w:r>
    </w:p>
    <w:p>
      <w:r>
        <w:t>IT: CH_VB 90.826 del 13 dicembre 1991</w:t>
      </w:r>
    </w:p>
    <w:p>
      <w:pPr>
        <w:pStyle w:val="Heading2"/>
      </w:pPr>
      <w:r>
        <w:t>Erwägungen</w:t>
      </w:r>
    </w:p>
    <w:p>
      <w:r>
        <w:rPr>
          <w:b/>
        </w:rPr>
        <w:t>E. 13</w:t>
      </w:r>
    </w:p>
    <w:p>
      <w:r>
        <w:t>décembre 1991 Schriftliche Erklärung des Bundesrates Déclaration écrite du Conseil fédéral Der Bundesrat beantragt, die Motion in ein Postulat umzuwan- deln. Ueberwiesen als Postulat - Transmis comme postulat #ST# 91.3366 Motion Haering Binder Sachplan «Landschaft und Lebensräume» Faune et flore. Plan sectoriel portant sur le paysage et le milieu naturel Wortlaut der Motion vom 4. Oktober 1991 Der Bundesrat wird beauftragt, die rechtlichen Grundlagen für einen Sachplan «Landschaft und Lebensräume» zu schaffen. 7 exte de la motion du 4 octobre 1991 Le Conseil fédéral est chargé de créer les bases juridiques per- mettant l'élaboration d'un plan sectoriel portant sur le paysage et le milieu naturel. Mitunterzeichner - Cosignataires: Bäumlin, Bodenmann, Eiundi, Danuser, Hubacher, Leuenberger Ernst, Leuenberger Moritz, Mauch Ursula, Neukomm, Rechsteiner, Reimann Fritz, Stappung, Uchtenhagen (13) Schriftliche Begründung - Développement par écrit In der Planung werden naturnahe Räume immer wieder als quantité négligeable hinter Bau- und Landwirtschaftsinteres- sen zurückgestuft. Das Denken ist auf örtliche Schutzgebiete fixiert und wird dem Ueberlebensbedürfnis der heimischen Tier- und Pflanzenarten nicht gerecht. Aus der Optik von F:auna und Flora sind Lebensräume zentraler Begriff. Diese sind oft grösser und umfassender als die Biotope und Natur- schutzgebiete. Der Schutz vereinzelter naturnaher Räume ge- nügt nicht. In einem Sachplan sind gezielt die notwendigen Lebensräume der wichtigsten heimischen Arten in der Schweiz zu bezeichnen und Massnahmen zum Schutz dieser Räume - gerade im Konflikt mit Landwirtschaft und Verkehrs- vorhaben - vorzusehen. Der gleiche Sachplan soll die inventa- risierten Schutzlandschaften aufzeigen und Vorkehren zu de- ren Schutz sicherstellen. Schriftliche Stellungnahme des Bundesrates vom 20. November 1991 Rapport écrit du Conseil fédéral du 20 novembre 1991 Der Bundesrat erachtet die Bedrohung der natürlichen Le- bensgrundlagen und Landschaften weiterhin als besorgniser- regend und stimmt in dieser Beurteilung mit der Motionärin überein. Hinsichtlich der Ausgestaltung der Instrumente kann er jedoch dem Vorstoss nicht folgen. Im Bundesgesetz vom 1. Juli 1966 über den Natur- und Hei- matschutz (NHG) besteht mit den Inventaren des Bundes nach Artikel 5 und den neuen Artikeln 18a-18d über den Bio- topschutz ein differenzierter Auftrag an den Bund und die Kan- tone. Der Bundesrat hat diese neuen Vollzugsaufgaben in sei- ner Antwort vom 27. Juni 1990 auf die Einfache Anfrage Mauch Ursula vom 22. März 1990, Biotopverbundsystem ('Oeko- netz') Schweiz (90.1049) dargestellt. Im soeben erschienen Umweltbericht 1990 des Bundesamtes für Umwelt, Wald und Landschaft sind die Situation von Natur und Landschaft, die Vollzugsprobleme und die nötigen Strategien behandelt. Für den Biotop- und Artenschutz bedeutet dies eine nach Aufga- ben, Instrumenten und Massnahmen differenzierte Strategie ausserhalb und innerhalb von Siedlungen. Dies wird bei- spielsweise angestrebt durch Entlassungen im gesamten Le- bensraum, durch spezielle Schutzgebiete und Schutzmass- nahmen und durch Finanzhilfen zur Erhaltung und Pflege von naturnahen Kulturlandschaften. Auch im Bereich der Landwirt- schaft, des Waldbaus oder der Gewéisserpflege wird vermehrt auf eine ökologische Ausrichtung geachtet. Diese vielfältigen Massnahmen können nicht vom Bund in einem Sachplan fi- xiert werden, sondern bedingen zu ihrer Erfüllung die tätige Mit- und Zusammenarbeit aller beteiligten Kräfte. Zur Koordi- nation und Uebersicht über Tätigkeiten und Schutzinteressen werden bereits mit den vorhandenen Rechtsgrundlagen kan- tonale oder kommunale Natur- und Landschaftsschutzkon- zepte erstellt. - Die Grundsätze zum Schutz der einheimi- schen Pflanzen- und Tierwelt sind in Artikel 13 ff. der Verord- nung vom 16. Januar 1991 über den Natur- und Heimatschutz (NHV) umschrieben. Dazu hat der Bundesrat, gestützt auf die Artikel 14 und 20 NHV, rechtsgültige Verzeichnisse der ge- schützten Arten erlassen. - Für Moorlandschaften von beson- derer Schönheit und nationaler Bedeutung ist zudem mit der Botschaft vom 26. Juni 1991 über die Aenderung des NHG eine Verstärkung in Anlehnung an die Bestimmungen über den Biotopschutz vorgesehen. Gestützt auf Artikel 13 des Bundesgesetzes vom 22. Juni1979 über die Raumplanung (RPG) erstellt der Bund die nötigen Konzepte und Sachpläne und stimmt sie aufeinander ab. Wel- che Planungen des Bundes als Kon2:epte und Sachpläne gel- ten, legt der Bundesrat aufgrund von Artikel 14 Absatz 1 der Verordnung vom 2. Oktober 1989 über die Raumplanung (RPV) fest. Artikel 13 RPG gibt dem Bund keine neuen Zustän- digkeiten. Soweit es sich um Biotope von nationaler Bedeu- tung handelt, die in einem Verfahren nach Artikel 18a NHG be- zeichnet wurden, wie das Hochmoorinventar (Hochmoorver- ordnung vom 21. Januar 1991), dürften die Voraussetzungen zur nachträglichen Bezeichnung als Sachplan nach Artikel 14 Absatz 1 RPV erfüllt sein. Andere Schutzobjekte, wie Inventare nach Artikel 5 NHG, kantonale oder kommunale Schutzmass- nahmen und Schutzzonen oder freiwillige Vereinbarungen werden allerdings mit den bestehenden Rechtsgrundlagen für einen umfassenden Sachplan des Bundes über «Landschaft und Lebensräume» nicht abgedeckt Ein solcher nationaler Sachplan, der alle Schutzobjekte und Schutzkategorien um- fassen würde, wäre auch ein viel zu schwerfälliges und lang- wieriges Instrument, das zudem mit der föderalistischen Auf- gabenteilung nicht in Einklang gebracht werden könnte. Die bestehenden Rechtsgrundlagen des RPG, insbesondere Artikel 6 Absatz 2, Artikel 16 Absatz 1 Buchstabe b, Artikel 17 RPG, Artikel 16 Absatz 2 RPV, die erwähnten Bestimmungen des NHG, die soeben erfolgte Revision des Waldgesetzes (Wald als naturnahe Lebensgemeinschaft, Waldreservate) und die vorgesehenen Aenderungen der Landwirtschaftsge- setzgebung (ökologisch motivierte Direktzahlungen) genü- gen, um die Schutzmassnahmen raumwirksam umzusetzen und um Anreize für die Abgeltung von Leistungen zu bieten. Der Bundesrat sieht die Probleme der Erfüllung des Natur- und Landschaftsschutzes derzeit schwergewichtig im sach- und zeitgerechten Vollzug und bei den knappen Förderungs- mitteln. Er kann sich somit dem von der Motionärin geforder- ten Weg zur Schaffung ergänzender Rechtsgrundlagen für ei- nen umfassenden Sachplan «Landschaft und Lebensräume» nicht anschliessen. Der Bundesrat ist bereit zu prüfen, ob es zweckmässig ist, die bereits erlassenen und die laufenden Inventare des Bundes nach Artikel 5 und 18a NHG als Sachplan bzw. als Konzept nach Artikel 14Absatz 1 RPV zu bezeichnen. Zudem wird er im Rahmen der vorgesehenen Arbeiten zum Landschaftsschutz- Konzept (vgl. Bericht über die Massnahmen zur Raumord- nungspolitik: Realisierungsprogramm vom 27. November 1989) die Ergebnisse des Nationalen Forschungsprogram- mes «Boden» im Bereich Natur- und Landschaftsschutz weiter umsetzen.</w:t>
      </w:r>
    </w:p>
    <w:p>
      <w:r>
        <w:t>Schweizerisches Bundesarchiv, Digitale Amtsdruckschriften Archives fédérales suisses, Publications officielles numérisées Archivio federale svizzero, Pubblicazioni ufficiali digitali Motion (Longet-)von Feiten HIV-positive Personen. Diskriminierungsverbot im Bereich der Krankenversicherung und der beruflichen Vorsorge Motion (Longet-)von Felten Personnes séropositives. Interdiction de toute discrimination en matière de couverture d'assurance-maladie et de prévoyance professionnelle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90.826 Numéro d'objet Numero dell'oggetto Datum 13.12.1991 - 08:00 Date Data Seite 2478-2480 Page Pagina Ref. No</w:t>
      </w:r>
    </w:p>
    <w:p>
      <w:r>
        <w:rPr>
          <w:b/>
        </w:rPr>
        <w:t>E. 20</w:t>
      </w:r>
    </w:p>
    <w:p>
      <w:r>
        <w:t>020 718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