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90.805 vom 14. Dezember 1990</w:t>
      </w:r>
    </w:p>
    <w:p>
      <w:r>
        <w:t>Bundesverwaltung, 1990-12-14, DE</w:t>
      </w:r>
    </w:p>
    <w:p>
      <w:r>
        <w:rPr>
          <w:b/>
        </w:rPr>
        <w:t xml:space="preserve">Quelle: </w:t>
      </w:r>
      <w:r>
        <w:t>https://mcp.opencaselaw.ch/entscheid/ch_vb_90.805</w:t>
      </w:r>
    </w:p>
    <w:p>
      <w:r>
        <w:t>FR: CH_VB 90.805 du 14 décembre 1990</w:t>
      </w:r>
    </w:p>
    <w:p>
      <w:r>
        <w:t>IT: CH_VB 90.805 del 14 dicembre 1990</w:t>
      </w:r>
    </w:p>
    <w:p>
      <w:pPr>
        <w:pStyle w:val="Heading2"/>
      </w:pPr>
      <w:r>
        <w:t>Erwägungen</w:t>
      </w:r>
    </w:p>
    <w:p>
      <w:r>
        <w:rPr>
          <w:b/>
        </w:rPr>
        <w:t>E. 14</w:t>
      </w:r>
    </w:p>
    <w:p>
      <w:r>
        <w:t>Dezember 1990 N 2461 Interpellation Carobbio stiz- und Polizeidirektoren (KKJPD) wird sich demnächst mit dem Fahren unter Drogeneinfluss befassen. Dabei wird das Problem der Kontrolle sicher auch einen wichtigen Diskussi- onspunkt darstellen. 2. Die Existenz von Drogen im Körper kann mittels Blut-, Harn- und Speichelproben nachgewiesen werden. Indessen berei- tet die Ermittlung der Konzentration Schwierigkeiten. Die vom EJPD eingesetzte Blutalkoholanalyse-Kommission steht des- halb seit Ende 1988 mit einer von der Schweizerischen Gesell- schaft für gerichtliche Medizin und der Vereinigung der Leiter der Laboratorien zur Blutalkoholbestimmung gemeinsam ge- bildeten Kommission in Kontakt. Diese befasst sich gegenwär- tig mit der Entwicklung und Erprobung von Verfahren zur Fest- stellung der Konzentration einzelner Drogen. In einer zweiten Phase soll dann die Beziehung zwischen Dosis und Wirkung auf den Menschen, insbesondere auf die Fahrfähigkeit, unter- sucht werden. Schwierigkeiten bereitet in diesem Zusammen- hang die Tatsache, dass sich sowohl interne Einflüsse (z. B. Müdigkeit, psychische Stressfaktoren) als auch externe (z. B. Einnahme von anderen Drogen, Alkohol, Medikamenten) nicht auf alle Menschen gleich auswirken. Erst wenn diese Probleme gelöst sind, wird es möglich sein, entsprechende Grenzwerte festzulegen. 3. Alkohol wird vom Körper linear um ca. 0,1 Gewichtspromille pro Stunde abgebaut. Drogen werden dagegen nicht linear, sondern in Funktion von Drogenkonzentration und Zeit abge- baut. Man spricht von der Halbwertszeit. Da ist diejenige Zeit, die vergeht, bis sich die Höchstkonzentration um die Hälfte verringert hat. Theoretisch wird die Droge also nie ganz abge- baut, ist aber unter einer bestimmten Konzentration nicht mehr messbar. Die verschiedenen Substanzen haben unterschied- liche Halbwertszeiten, die zudem von Mensch zu Mensch vari- ieren. Im Harn ist der Konsum von Drogen am längsten nach- weisbar (bei Cannabis bis zu einer Woche) ; indessen taugt er nicht zur Feststellung der Konzentration. Diese lässt sich nur im Blut verlässlich ermitteln. 4. Gemäss der vom Bundesamt für Statistik herausgegebe- nen Broschüre «Strassenverkehrsunfälle in der Schweiz» stand 1989 bei 163 von insgesamt 76 743 Unfällen der Unfall- verursacher unter Drogeneinfluss. Man darf sich von dieser kleinen Zahl jedoch nicht täuschen lassen. Amerikanischen und kanadischen Untersuchungen zufolge ist ein grosser Teil der Drogenkonsumenten zusätzlich alkoholisiert. Gerade diese Fälle dürften kaum in der Rubrik «Einfluss von Drogen» erscheinen, weil der Nachweis des Drogenkonsums bei gerin- gen Konzentrationen schwierig ist und zudem kaum Rück- schlüsse auf das Fahrverhalten zulässt. Die Behörden lassen es in diesen Fällen wohl bei der Bestrafung wegen Fahrens in angetrunkenem Zustand bewenden. Bei Motorfahrzeugfüh- rern, die ausschliesslich Drogen konsumiert haben, dürfte zu- dem ein bestimmter Prozentsatz in der Statistik unter den übermüdeten Unfallverursachern zu finden sein. Gesicherte Erkenntnisse liegen aber nicht vor. 5. Wer fährt, obwohl er nach Drogen- oder Medikamentenkon- sum fahrunfähig ist, macht sich strafbar und der Führeraus- weis wird ihm entzogen. Gemäss Artikel 31 Absatz 2 SVG in Verbindung mit Artikel 2 Absatz 1 VRV darf kein Fahrzeug führen, wer wegen Einwir- kung von Drogen fahrunfähig ist. Die Widerhandlung stellt ei- nen Uebertretungstatbestand dar und wird mit Haft oder Busse bestraft. Mit Gefängnis (oder Busse) bestraft wird, wer durch grobe Verletzung dieser Verkehrsregel eine ernstliche Gefahr für die Sicherheit anderer hervorruft oder in Kauf nimmt (Art. 90Ziff. 2 SVG). Bei nur gelegentlichem Drogenkonsum kommt ein befristeter Warnungsentzug gemäss Artikel 30 Absatz 2 VZV, in leichten Fällen allenfalls eine Verwarnung (Art. 31 Abs. 2 VZV) in Frage. Dem wegen Trunksucht oder anderen Süchten zum Führen ei- nes Motorfahrzeuges ungeeigneten Führer wird der Führer- ausweis aus Sicherheitsgründen auf unbestimmte Zeit entzo- gen. Das Bundesgericht subsumiert unter den Begriff Sucht auch den «chronischen Drogenkonsum» (BGE 115 Ib328 = Pr 78 Nr. 258), selbst wenn keine Abhängigkeit besteht. Dabei ist stets die potentielle Gefahr, die vom Drogenkonsumenten ausgeht, massgebend. Die blosse Möglichkeit einer späteren Gefährdung genügt für einen Sicherungsentzug nicht (BGE 105 Ib 385 = Pr 69 Nr. 242). Beim Sicherungsentzug wird der Führerausweis frühestens nach Ablauf der angeordneten Be- währungsfrist (mindestens 1 Jahr) wiedererteilt, beim War- nungsentzug beträgt die Mindestdauer einen Monat. Mit der Frage der einheitlichen Anwendung in den Kantonen befas- sen sich die Konferenz für Administrativmassnahmen im Strassenverkehr (KAM) und die oben (Ziff. 1) erwähnte KKJPD. 6. Es besteht keine Statistik über die Zal der von den kantona- len Gerichtsbehörden ausgefällten Strafen wegen Fahrens un- ter Drogeneinfluss. Dafür liegen Angaben über die Anzahl der strassenverkehrsrechtlichen Administrativmassnahmen (Füh- rerausweisentzüge usw., ohne Verwarnungen) vor: Wegen Einfluss von Medikamenten und Drogen sowie wegen Dro- gensucht wurden 1987 767,19881064 und 19891076 Admini- strativmassnahmen ausgesprochen. 7. Zwar genügen die Vorschriften in Gesetz und Verordnung, um das Führen von Fahrzeugen unter Drogeneinfluss zu ahn- den (Strafe, Führerausweisentzug). Es fehlt aber zurzeit eine einheitliche und präzise Regelung der Feststellung der Dro- gen und der Beurteilung ihrer Wirkung auf das Fahrverhalten. Mit der Vorbereitung der hiefür notwendigen Grundlagen be- fassen sich die bereits erwähnte Fachkommission sowie die zuständigen behördlichen Instanzen. Erst wenn die Ergeb- nisse der Arbeiten dieser Gremien vorliegen, kann an eine prä- zisere Regelung durch Verordnungsänderung oder Richtli- nien gedacht werden. Loeb: Das Fahren nach Drogengenuss gefährdet andere Ver- kehrsteilnehmer in hohem Masse. Es fehlen in unserem Lande entsprechende Bestimmungen. Eine Kommission prüft zur- zeit die Situation. Erst nach den Ergebnissen der Kommission kann eine präzisere Regelung oder eine entsprechende Ver- ordnung erlassen werden. Ich bitte den Bundesrat, möglichst rasch zu handeln. Es stehen Menschenleben auf dem Spiel, die es nicht erlauben, die Frage in einer Kommission blockiert zu lassen. Präsident: Der Interpellant ist von der Antwort des Bundesra- tes teilweise befriedigt. #ST# 90.375 Interpellation Carobbio Politische Pichen im EMD Interpellanza Carobbio Schedar! politici del DMF. Dichiarazioni on. Villiger Interpellation Carobbio Fichiers politiques du DMF. Déclarations du conseiller fédéral Villiger Wortlaut der Interpellation vom 5. März 1990 An der Pressekonferenz vom 14. Februar dieses Jahres hat Bundesrat Villiger zugegeben, dass im EMD politische Fichen über den Zeitraum 1967-1977 existierten. Er fügte hinzu, diese seien dann vernichtet worden, wahrscheinlich auch infolge der Einfachen Anfrage des Unterzeichners vom 16. März 1977 (Polizei-Auskünfte in der Armee Nr. 77.634 mit Antwort des Bundesrates am 6. Juni 1977). In dieser Anfrage, in der auf die Existenz eines Formulars Nr. 5.11, «Polizeilicher Führungsbe- richt», hingewiesen wird, mit dem Informationen über allfällige («extreme») politische Betätigung der Soldaten gesammelt wurden, stellte ich die Frage, wie viele Personen katalogisiert wurden und ob eine Kartei mit derart gesammelten Informatio- nen existiere.</w:t>
      </w:r>
    </w:p>
    <w:p>
      <w:r>
        <w:t>Schweizerisches Bundesarchiv, Digitale Amtsdruckschriften Archives fédérales suisses, Publications officielles numérisées Archivio federale svizzero, Pubblicazioni ufficiali digitali Interpellation Loeb Strassenverkehrsgesetz. Fahren nach Drogenkonsum Interpellation Loeb Loi sur la circulation routière. Conducteurs drogués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90.805 Numéro d'objet Numero dell'oggetto Datum 14.12.1990 - 08:00 Date Data Seite 2460-2461 Page Pagina Ref. No</w:t>
      </w:r>
    </w:p>
    <w:p>
      <w:r>
        <w:rPr>
          <w:b/>
        </w:rPr>
        <w:t>E. 20</w:t>
      </w:r>
    </w:p>
    <w:p>
      <w:r>
        <w:t>019 378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