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90.790 vom 2. März 1992</w:t>
      </w:r>
    </w:p>
    <w:p>
      <w:r>
        <w:t>Bundesverwaltung, 1992-03-02, DE</w:t>
      </w:r>
    </w:p>
    <w:p>
      <w:r>
        <w:rPr>
          <w:b/>
        </w:rPr>
        <w:t xml:space="preserve">Quelle: </w:t>
      </w:r>
      <w:r>
        <w:t>https://mcp.opencaselaw.ch/entscheid/ch_vb_90.790</w:t>
      </w:r>
    </w:p>
    <w:p>
      <w:r>
        <w:t>FR: CH_VB 90.790 du 2 mars 1992</w:t>
      </w:r>
    </w:p>
    <w:p>
      <w:r>
        <w:t>IT: CH_VB 90.790 del 2 marzo 1992</w:t>
      </w:r>
    </w:p>
    <w:p>
      <w:pPr>
        <w:pStyle w:val="Heading2"/>
      </w:pPr>
      <w:r>
        <w:t>Erwägungen</w:t>
      </w:r>
    </w:p>
    <w:p>
      <w:r>
        <w:rPr>
          <w:b/>
        </w:rPr>
        <w:t>E. 2</w:t>
      </w:r>
    </w:p>
    <w:p>
      <w:r>
        <w:t>Wohnungsbau für den Eigenbedarf durch die Versicherten der entsprechenden Pensionskassen;</w:t>
      </w:r>
    </w:p>
    <w:p>
      <w:r>
        <w:rPr>
          <w:b/>
        </w:rPr>
        <w:t>E. 3</w:t>
      </w:r>
    </w:p>
    <w:p>
      <w:r>
        <w:t>Aufhebung des «Bundesbeschlusses über Anlagevorschrif- ten für Einrichtungen der beruflichen Vorsorge und für Versi- cherungseinrichtungen»;</w:t>
      </w:r>
    </w:p>
    <w:p>
      <w:r>
        <w:rPr>
          <w:b/>
        </w:rPr>
        <w:t>E. 4</w:t>
      </w:r>
    </w:p>
    <w:p>
      <w:r>
        <w:t>Es versteht sich von selbst, dass eine Vorsorgeeinrichtung die Gleichbehandlung der Versicherten auch bezüglich der</w:t>
      </w:r>
    </w:p>
    <w:p>
      <w:r>
        <w:t>Motion Leuenberger Ernst 254 N 2 mars 1992 Wohneigentumsförderung zu wahren hat Die Form bleibt der Freiheit und Kreativität der Vorsorgeeinrichtung überlassen. Der Bereich, der mit dem Postulat angesprochen wird, ist mit den laufenden Arbeiten der Verwaltung, namentlich mit den geplanten Verbesserungen der Wohneigentumsförderung mit den Mitteln der beruflichen Vorsorge und mit dem Anschluss- programm zu den Sofortmassnahmen im Siedlungsbereich, abgedeckt. In einer Begleituntersuchung werden die Auswir- kungen der drei dringlichen Bundesbeschlüsse im Siedlungs- bereich (darunter auch der BB vom 6. Oktober 1989 über Anla- gevorschriften für Einrichtungen der beruflichen Vorsorge und für Versicherungseinrichtungen) genau abgeklärt. Das Ergeb- nis der Untersuchung wird als eine der Grundlagen für die poli- tischen Entscheide in dieser Sache dienen. Ein zusätzlicher Bericht brächte kaum neue Ergebnisse und würde die Revisio- nen zeitlich nicht beschleunigen. Schriftliche Erklärung des Bundesrates Déclaration écrite du Conseil fédéral Der Bundesrat ist bereit, die Ziffern 1 und 2 des Postulates ent- gegenzunehmen. Er beantragt, die Ziffern 3 und 4 abzuleh- nen. Weder Hansjürg: Ich bin dem Bundesrat dankbar, dass er we- nigstens die Ziffern 1 und 2 meines Postulats entgegennimmt. Ich bedaure, dass er dies bei den Ziffern 3 und 4 nicht macht Ich hatte eigentlich die Absicht, besonders Ziffer 3 meines Postulates zu verteidigen. Da jedoch seit Einreichung meines Postulates mehr als anderthalb Jahre verstrichen sind und die Frist des Bundesbeschlusses ebenfalls in anderthalb Jahren ausläuft, verzichte ich darauf. Grundsätzlich bin ich jedoch nach wie vor der Auffassung, dass es ein grober Fehler unseres Parlamentes war, die gros- sen und starken Pensionskassen vom Wohnungsbaumarkt zu verdrängen und das Feld anderen zu überlassen. Nicht zuletzt aus diesem Grund wurden im letzten Jahr ganz wesentlich we- niger preisgünstige Wohnungen gebaut als in den Jahren vor- her. Die Mieter sind in diesem Fall einmal mehr die Dummen und Geprellten. Ziff.1,2-Ch.1,2 Ueberwiesen - Transmis Ziff. 3,4-Ch. 3,4 Abgelehnt - Rejeté #ST# 90.800 Motion Leuenberger Ernst Unfallversicherungs-Obligatorium für Selbständigerwerbende Assurance-accidents des indépendants. Régime obligatoire Diskussion - Discussion Siehe Jahrgang 1990, Seite 2421 -Voir année 1990, page 2421 Präsident: Der Bundesrat beantragt, die Motion in ein Po- stulat umzuwandeln. Der Motionär ist damit einverstanden. Herr Allenspach bekämpft auch das Postulat. Allenspach: Wenn Sie diese Motion ansehen, stellen Sie fest, dass ein klarer Widerspruch zwischen dem Text des Vorstos- ses und der Begründung besteht Im Text des Vorstosses wird verlangt, dass die Selbständiger- werbenden dem Obligatorium der Unfallversicherung zu un- terstellen seien. In der Begründung wird im Grunde genom- men gesagt, die Selbständigerwerbenden seien dem Obliga- torium der Unfallverhütungsmassnahmen zu unterstellen. Das sind zwei ganz verschiedene Paar Stiefel. Wenn es darum ginge, die Unfallverhütungsmassnahmen auch für die Selbständigerwerbenden und die Alleinmeister in irgendeiner Art verbindlich zu erklären, dann könnte ich mich mit diesem Vorstoss durchaus einverstanden erklären. Ich bin überzeugt, dass wir dann entsprechende Möglichkeiten fin- den würden. Aber im Text verlangt Herr Leuenberger Ernst ganz deutlich, dass die Selbständigerwerbenden dem Obligatorium der Un- fallversicherung zu unterstellen seien, und zwar mit den Prä- mien und den Renten, mit den Abrechnungen und den Tag- geldern usw. Diese Unterstellung unter das Obligatorium der Versicherten und nicht unter das Obligatorium der Verhü- tungsmassnahmen ist ausserordentlich schwierig. Das Obli- gatorium der Versicherung müsste bei der Suva oder bei den für die Branchen zuständigen Versicherungen durchgeführt werden. Wir haben heute schon die grösste Mühe, alle Be- triebe durch das Obligatorium zu erfassen. Wenn nun noch alle Alleinmeister erfasst werden müssten, dann wäre dies ad- ministrativ beinahe unmöglich. Ich spreche hier aus Erfah- rung, nämlich aus den Erfahrungen der Auffangeinrichtung beim BVG. Die Unfallversicherung bemisst die Prämie nach dem Risiko. Welcher Risikogruppe würden diese Selbständigerwerben- den angehören? Gibt es eine besondere Risikogruppe? Be- triebsinhaber grösserer Betriebe sind in der Regel mit der Pla- nung, der Vorbereitung und der Leitung beschäftigt und bei- spielsweise nicht auf dem Bau zu finden. Würden sie den glei- chen Risiken unterstellt und damit die gleichen Prämien be- zahlen müssen wie ihre Mitarbeiter, die ganz andere Risiken laufen? Müssten sie überdurchschnittlich hohe und überpro- portional hohe Prämien bezahlen? Wenn wir eine Risikoabklä- rung vornehmen müssten, dann müssten wir jeden Einzelfall betrachten, und das ist administrativ eine Ueberforderung. Die administrativen Kosten einer solchen Versicherung sind hoch, und diese administrativen Kosten müssten letztlich die Versicherten selbst, die Arbeitgeber und die Arbeitnehmer, be- zahlen. Dabei ist eine solche Unterstellung unter das Versiche- rungsobligatorium bei den Selbständigerwerbenden meines Erachtens nicht notwendig. Sie sind zumeist bei den Kranken- kassen gegen Krankheit und Unfall versichert Wenn wir sie gleichzeitig noch dem Obligatorium der Unfallversicherung unterstellen, dann haben wir für sie wieder einmal die be- rühmte Situation, dass wir von Gesetzes wegen eine Doppel- versicherung für bestimmte Gruppen verfügen. Deshalb ist auf ein Obligatorium der Unfallversicherung bei den Selbständigerwerbenden und den Alleinmeistern zu ver- zichten. Einer solchen Ausdehnung der Unfallverhütungsvor- schriften jedoch auf diese Gruppen steht meines Erachtens nichts entgegen, aber dazu wäre ein anderer Motions- bzw. Postulatstext notwendig. Leuenberger Ernst: Herr Allenspach steht wieder einmal mit seinem ganzen politischen Gewicht auf der Sozialbremse, und es knirscht und Funken stieben. Einmal verlangt er eine Gesamtkonzeption, um zu bremsen. Sie stimmen ihm zu; das ist Ihre Freiheit. Dann sieht er administrative Probleme. Sie werden ihm auch da zustimmen. Oder er lässt die Katze aus dem Sack und sagt schlicht und einfach, es könnte etwas ko- sten und da sei er dagegen. Diese Ehrlichkeit schätze ich ei- gentlich am meisten. De quoi s'agit-il? Es geht hier ganz einfach um Arbeitssicher- heit, und Arbeitssicherheit soll ein ganz hohes Gut sein, selbst in wirtschaftlich schwierigen Zeiten. Ich hoffe, dass wir uns mindestens über diesen Punkt einig sind. Vorjahren haben wir hier in diesem Saal ganz kurz über ein in- ternationales Uebereinkommen der Internationalen Arbeitsor- ganisation (Nr. 167) diskutiert, das sich mit dem Arbeitsschutz im Bauwesen befasst. Dabei sind wir auf ein ganz interessan- tes Problem gestossen, nämlich auf die Einpersonenbetriebe. Es soll allein in der Baubranche und in den Baunebenbetrie- ben ungefähr 6000 davon geben.</w:t>
      </w:r>
    </w:p>
    <w:p>
      <w:r>
        <w:t>Schweizerisches Bundesarchiv, Digitale Amtsdruckschriften Archives fédérales suisses, Publications officielles numérisées Archivio federale svizzero, Pubblicazioni ufficiali digitali Postulat Weder Hansjürg Pensionskassengelder für den Wohnungsbau Postulat Weder Construction de logements financée au moyen des fonds des caisses de retraite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90.790 Numéro d'objet Numero dell'oggetto Datum 02.03.1992 - 14:30 Date Data Seite 253-254 Page Pagina Ref. No 20 020 952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