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90.701 vom 23. Januar 1991</w:t>
      </w:r>
    </w:p>
    <w:p>
      <w:r>
        <w:t>Bundesverwaltung, 1991-01-23, DE</w:t>
      </w:r>
    </w:p>
    <w:p>
      <w:r>
        <w:rPr>
          <w:b/>
        </w:rPr>
        <w:t xml:space="preserve">Quelle: </w:t>
      </w:r>
      <w:r>
        <w:t>https://mcp.opencaselaw.ch/entscheid/ch_vb_90.701</w:t>
      </w:r>
    </w:p>
    <w:p>
      <w:r>
        <w:t>FR: CH_VB 90.701 du 23 janvier 1991</w:t>
      </w:r>
    </w:p>
    <w:p>
      <w:r>
        <w:t>IT: CH_VB 90.701 del 23 gennaio 1991</w:t>
      </w:r>
    </w:p>
    <w:p>
      <w:pPr>
        <w:pStyle w:val="Heading2"/>
      </w:pPr>
      <w:r>
        <w:t>Erwägungen</w:t>
      </w:r>
    </w:p>
    <w:p>
      <w:r>
        <w:rPr>
          <w:b/>
        </w:rPr>
        <w:t>E. 23</w:t>
      </w:r>
    </w:p>
    <w:p>
      <w:r>
        <w:t>Januar 1991 19 Ausserparlamentarische Kommissionen 1989-1992 packen möchten, im Sinne der Ihnen allen bekannten und - so hoffe ich - noch dieses Jahr erscheinenden Botschaft zur To- talrevision der Krankenversicherungsgesetzgebung ange- gangen werden soll. Wir befinden uns somit auf einer Grat- wanderung. Es sind hier verschiedene Interessen zu vertreten: die von Ihnen erwähnten Interessen und die Interessen einer einigermassen vernünftigen Gesundheitskostensteigerung. Das soll einmal der Rahmen sein. Die Forschungstätigkeit, die Sie erwähnt haben, wird bei der Festlegung der Preise schon heute berücksichtigt, wobei ich hinzufügen möchte: Es werden nur die Preise jener Arzneimit- tel vom BSV kontrolliert, die kassenpflichtig erklärt werden. Die Zuständigkeit des BSV ist also auf jene Fälle beschränkt, wo die Kassenpflicht besteht. Der Preisaufschlag wegen der Forschungskosten und der Notwendigkeit, diese anzuerkennen, schwankt nach gegen- wärtigen Schätzungen des BSV zwischen 10 und 20 Prozent. Es muss gesagt werden, dass unsere Pharmaindustrie ange- sichts ihres ausserordentlich kleinen Inlandmarktes ihre For- schungskosten weiterhin wesentlich durch den Auslandmarkt wird abdecken müssen. Darüber besteht kein Zweifel. Aber es ist auch klar, dass wir - nachdem, wie Sie mit Recht erwähnt haben, gewisse Staaten, die nicht einmal weit von uns entfernt sind, sehr künstlich die Preise drücken - nicht in der Lage sind, ähnlich vorzugehen; denn wahrscheinlich hätte das auch eine gewisse Sogwirkung zur Folge. Deshalb diese sy- stematische Abwägung, die notwendig ist und die Sie ohne weiteres auch anerkennen. Zur Frage der Entwicklung der Gesundheitskosten habe ich mehrmals gesagt, dass eine glückliche Lösung der Kranken- versicherungsrevision nur möglich ist, wenn nicht nur der er- ste Gedanke - Herr Schoch ist ja hier und hört mir zu - der bun- desrätlichen Leitsätze verwirklicht wird, der Gedanke der Soli- darität, sondern wenn auch - im Rahmen des Möglichen - die Kostenfrage erarbeitet werden kann. Ich anerkenne mit Ihnen: Es gibt eine Reihe von Bereichen, die wichtiger sind als der Bereich der Arzneimittel. Ich habe aber gesagt und betonehier vor dem Ständerat: Wenn nicht alle Beteiligten bereit sind, ein kleines Opfer zu bringen - denn niemand möchte an einem an sich guten System rütteln -, dann werden wir kaum eine Revi- sion erhalten. Aber diese Revision wird ja von der schweizeri- schen Bevölkerung erwartet, denn die Klagen bezüglich der Entwicklung insbesondere der Krankenkassenprämien sind mehr als berechtigt. Wenn wir nicht eingreifen - das habe ich oft gesagt -, wird ir- gendwann jemand eingreifen. Einige Volksinitiativen laufen ja, die dann ohne weiteres zu besseren Chancen kämen. Ich möchte Ihnen also sagen, dass Ihr Anliegen beim Bundesrat absolut erkannt ist. Es war es auch immer, und es wird es auch in der Zukunft bleiben. Möglicherweise wird - man sollte es auf alle Fälle erwarten dürfen - von seilen der Industrie selber, mit deren Vertretern ich übrigens über diese Frage persönlich gesprochen habe, ein gewisses Entgegenkommen gezeigt: z. B. bei jenen Arz- neimitteln, die keine Innovation mehr darstellen, die schon seit vielen Jahren im Umlauf sind und für die die Forschungsinve- stitionen als abgeschrieben betrachtet werden können. Ich möchte in der Schilderung der Problematik nicht weiterge- hen. Ich möchte Ihnen mit dieser Antwort eher zeigen, wie hier die Abwägung geschehen muss, wobei ohne Zweifel alle Ihre Anliegen uneingeschränkt in die eine Waagschale geworfen werden können. Miville: Die Ausführungen des Herrn Bundespräsidenten wa- ren von einem solchen Verständnis erfüllt für die Belange der Industrie, von der ich hier gesprochen habe, dass man gar nicht anders als sich befriedigt erklären kann. Ich hoffe nur, dass diese Erläuterungen bis zu den Ohren aller staatlichen Instanzen vordringen, die mit Kartellwesen, Preisüberwa- chung, Zulassung von Nachahmerprodukten usw. zu tun ha- ben. #ST# 90.047 Ausserparlamentarische Kommissionen 1989-1992 Commissions extra-parlementaires 1989-1992 Bericht der Geschäftsprüfungskommissionen vom 22. und 31. August 1990 (BBIIII337) Rapport des Commissions de gestion du 22 et 31 août 1990 (FF III 320) Iten, Berichterstatter: Als Präsident der Geschäftsprüfungs- kommission möchte ich zum Bericht über die ausserparla- mentarischen Kommissionen kurz Stellung nehmen und drei Punkte erörtern. 1. Zur Aufgabe und zur Legitimation der ausserparlamentari- schen Kommissionen: Das System der ausserparlamentari- schen Kommissionen gestattet der Verwaltung, Fachkennt- nisse zu gewinnen, die sie ansonsten durch Vergrösserung des Verwaltungsapparates beschaffen müsste oder nur durch kostspielige Expertenaufträge einkaufen könnte. Die Aufgabe der ausserparlamentarischen Kommissionen ist damit primär fachlicher Art. Daneben aber gestattet das System auch einer Vielfalt von Gruppierungen und Organisationen in Wirtschaft und Gesellschaft eine direkte Einflussnahme auf die Verwal- tung. Es erleichtert den Abstimmungsprozess zwischen Wirt- schaft und Verwaltung. Dieser ist nützlich und insoweit pro- blemlos, als es um den Vollzug von Aufgaben geht, deren Ziele demokratisch hinreichend bestimmt sind. Die Grenze ei- ner Verbindung von Verwaltung und Wirtschaft ist jedoch dort zu ziehen, wo Machtfragen zur Diskussion stehen. Solche soll- ten grundsätzlich durch das Parlament entschieden werden. Die Bundesversammlung und damit auch die Geschäftsprü- fungskommissionen haben darüber zu wachen, dass der Ein- fluss der ausserparlamentarischen Kommissionen nicht zu gewichtig wird. Dies ist die politische Bedeutung des vorlie- genden Berichtes, der sich im übrigen mit einer Reihe von Vor- schriften befasst, die bloss gewährleisten sollen, dass die Viel- falt der Kommissionen einer angemessenen Ordnung unter- stelltwird. 2. Zur Mitgliedschaft von Parlamentariern: Besonders bedeut- sam ist die Frage des Beizugs von Mitgliedern der Bundesver- sammlung in ausserparlamentarische Kommissionen. Nach den Richtlinien des Bundesrates stellt dies eine Ausnahme dar und ist besonders zu begründen. Die Praxis dazu scheint uns jedoch zu large. In keinem einzigen der 45 Ausnahmefälle ist eine hinreichende Begründung geliefert worden. Nach unserer Ansicht sprechen grundsätzliche Erwägungen gegen die Mitgliedschaft von Ratsmitgliedern in ausserparla- mentarischen Kommissionen. Ihr Beizug widerspricht dem Gedanken der Fachberatung für Verwaltung und Bundesrat, denn Parlamentarier sollten als Mitglieder der staatspolitisch übergeordneten Bundesversammlung nicht zugleich als bera- tendes Instrument der Verwaltung dienen. Sie geraten anson- sten in einen Konflikt zwischen Kontrolle und Beratung. Sie werden indie Argumentation eingebunden, die unter ihrer Mit- wirkung von der Verwaltung entwickelt worden ist. Sie sind ins- besondere, wo sie Präsident einer ausserparlamentarischen Kommission sind, in der Ausübung ihres politischen Manda- tes nicht mehr ganz frei. Sie erlangen einen Wissensvorsprung gegenüber anderen Ratsmitgliedern und gelangen unwillkür- lich in die Rolle, in der Verwaltung das Parlament zu vertreten, ohne dazu legitimiert zu sein. Gerade dieser letzte Aspekt ist im Falle der beratenden Ausschüsse zum ausserordentlichen Nachrichtendienst und zur Widerstandsorganisation, P-26 und P-27, heftig kritisiert worden. In weniger spektakulärer Form, aber grundsätzlich gleich stellt sich die Frage auch bei ausserparlamentarischen Kommissio- nen im allgemeinen. Die Geschäftsprüfungskommissionen sind daher zur Ueberzeugung gelangt, dass Ausnahmen nur in ganz seltenen Sonderfällen möglich sein dürfen. Auszu-</w:t>
      </w:r>
    </w:p>
    <w:p>
      <w:r>
        <w:t>Schweizerisches Bundesarchiv, Digitale Amtsdruckschriften Archives fédérales suisses, Publications officielles numérisées Archivio federale svizzero, Pubblicazioni ufficiali digitali Interpellation Miville Kosten schweizerischer Arzneimittel Interpellation Miville Coût des médicaments suisses In Amtliches Bulletin der Bundesversammlung Dans Bulletin officiel de l'Assemblée fédérale In Bollettino ufficiale dell'Assemblea federale Jahr 1991 Année Anno Band I Volume Volume Session Januarsession Session Session de janvier Sessione Sessione di gennaio Rat Ständerat Conseil Conseil des Etats Consiglio Consiglio degli Stati Sitzung 02 Séance Seduta Geschäftsnummer 90.701 Numéro d'objet Numero dell'oggetto Datum 23.01.1991 - 16:00 Date Data Seite 17-19 Page Pagina Ref. No 20 019 621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