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90.650 vom 5. Oktober 1990</w:t>
      </w:r>
    </w:p>
    <w:p>
      <w:r>
        <w:t>Bundesverwaltung, 1990-10-05, DE</w:t>
      </w:r>
    </w:p>
    <w:p>
      <w:r>
        <w:rPr>
          <w:b/>
        </w:rPr>
        <w:t xml:space="preserve">Quelle: </w:t>
      </w:r>
      <w:r>
        <w:t>https://mcp.opencaselaw.ch/entscheid/ch_vb_90.650</w:t>
      </w:r>
    </w:p>
    <w:p>
      <w:r>
        <w:t>FR: CH_VB 90.650 du 5 octobre 1990</w:t>
      </w:r>
    </w:p>
    <w:p>
      <w:r>
        <w:t>IT: CH_VB 90.650 del 5 ottobre 1990</w:t>
      </w:r>
    </w:p>
    <w:p>
      <w:pPr>
        <w:pStyle w:val="Heading2"/>
      </w:pPr>
      <w:r>
        <w:t>Erwägungen</w:t>
      </w:r>
    </w:p>
    <w:p>
      <w:r>
        <w:rPr>
          <w:b/>
        </w:rPr>
        <w:t>E. 5</w:t>
      </w:r>
    </w:p>
    <w:p>
      <w:r>
        <w:t>Oktober 1990 N 1929 Interpellation Jaeger Rapport écrit du Conseil fédéral du 17 septembre 1990 (Concernant les interpellations 90.525 et 90.650) Bei der Auseinandersetzung um die Nachfolge im Bistum Chur handelt es sich primär um einen innerkirchlichen Kon- flikt, der seit der Ernennung von Wolfgang Haas zum Weihbi- schof mit Nachfolgerecht besteht. Er findet neue Aktualität, seit Wolfgang Haas zum Bischof ernannt wurde und in dieser Eigenschaft eine Reihe von Massnahmen (u. a. Neubeset- zung von Posten) traf. Der Bundesrat ist sich bewusst, dass dieser Konflikt über seine innerkirchlichen Aspekte hinaus An- lass für Besorgnis grosser Teile der schweizerischen Bevölke- rung geworden ist. Da jedoch kirchliche Angelegenheiten, ab- gesehen von der Bundesgarantie der Glaubens- und Gewis- sensfreiheit (Art. 49 und 50 BV), in die kantonalen Kompeten- zen fallen, obliegt es primär den betreffenden Kantonen, auf die Einhaltung ihrer Kirchenrechte zu dringen. In diesem Sinne nimmt der Bundesrat wie folgt 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