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90.345 vom 4. Oktober 1990</w:t>
      </w:r>
    </w:p>
    <w:p>
      <w:r>
        <w:t>Bundesverwaltung, 1990-10-04, DE</w:t>
      </w:r>
    </w:p>
    <w:p>
      <w:r>
        <w:rPr>
          <w:b/>
        </w:rPr>
        <w:t xml:space="preserve">Quelle: </w:t>
      </w:r>
      <w:r>
        <w:t>https://mcp.opencaselaw.ch/entscheid/ch_vb_90.345</w:t>
      </w:r>
    </w:p>
    <w:p>
      <w:r>
        <w:t>FR: CH_VB 90.345 du 4 octobre 1990</w:t>
      </w:r>
    </w:p>
    <w:p>
      <w:r>
        <w:t>IT: CH_VB 90.345 del 4 ottobre 1990</w:t>
      </w:r>
    </w:p>
    <w:p>
      <w:pPr>
        <w:pStyle w:val="Heading2"/>
      </w:pPr>
      <w:r>
        <w:t>Erwägungen</w:t>
      </w:r>
    </w:p>
    <w:p>
      <w:r>
        <w:rPr>
          <w:b/>
        </w:rPr>
        <w:t>E. 4</w:t>
      </w:r>
    </w:p>
    <w:p>
      <w:r>
        <w:t>Sieht der Bundesrat einen direkten oder indirekten Zusam- menhang des Zinsanstieges mit den akuten Problemen des Finanzplatzes Schweiz, dessen Konkurrenzfähigkeit und inter- nationale Stellung sich markant verschlechtert hat? Wie beur- teilt der Bundesrat die Entwicklung des Aussenwertes des Schweizerfrankens und die schweizerische Zinsentwicklung im internationalen Vergleich?</w:t>
      </w:r>
    </w:p>
    <w:p>
      <w:r>
        <w:rPr>
          <w:b/>
        </w:rPr>
        <w:t>E. 5</w:t>
      </w:r>
    </w:p>
    <w:p>
      <w:r>
        <w:t>Grundsätzlich ist festzuhalten, dass die langfristige Hypo- thekarfinanzierung, von kurzen Perioden abgesehen, pro- blemlos und zu meist günstigen Bedingungen abgewickelt werden konnte. In den letzten Jahren sind verschiedene Vorschläge unterbrei- tet worden, wie die Zinsfluktuationen gemildert, die Anfangs- belastung reduziert oder die Gelder der Sozialversicherung - die bereits bisher einen wesentlichen Beitrag zur langfristigen Finanzierung von Hypothekardarlehen geleistet haben - ver- stärkt für den Wohnungsbau nutzbar gemacht werden können (z. B. Vorschläge zur Verwendung der Altersguthaben; Schaf- fung von Emissionszentralen für spezifische Wohnbauanlei- hen). Es fehlt somit nicht an Vorschlägen. Umstritten ist jedoch, in- wieweit der Bund einzelne Massnahmen gesetzlich durchset- zen soll. Ein wachsender Konsens zeichnet sich bei der Ver- wendung der Vorsorgegelder. Im Zusammenhang mit der drit- ten Säule wurde auf Anfang dieses Jahres eine entspre- chende Verordnung in Kraft gesetzt. Bezüglich der zweiten Säule sind die Abklärungen noch im Gange. Bei anderen Massnahmen herrscht grössere Zurückhaltung gegenüber staatlichen Obligatorien. Dies gilt auch bezüglich der Verpflichtung der Vorsorgeeinrichtung zur Gewährung von Hypothekardarlehen. Eine solche wäre sowohl aus verfas- sungsrechtlichen wie praktischen Gründen problematisch. Prüfenswert ist die Frage, inwieweit durch Liberalisierung der Pfandbriefgesetzgebung institutionelle Anleger noch verstärkt ins Hypothekargeschäft einbezogen werden können. Glei- ches gilt für die Vorschläge zur Schaffung eines Sekundär- marktes für Hypotheken oder zur Einführung gesetzlicher Amortisationspflichten. Die letztgenannte Frage war bereits wiederholt Gegenstand von Abklärungen, die indes mit der Verflüssigung des Kapitalmarktes jeweils im Sande verliefen. Zur Erörterung der anstehenden Fragen haben erste Kontakte zwischen der Bankiervereinigung und den zuständigen Bun- desstellen stattgefunden. Dabei ist allerdings darauf hinzuwei- sen, dass die meisten Vorschläge weniger zu einer Verbilli- gung des Hypothekarkredites als zu einer verbesserten Ali- mentierung des Hypothekarmarktes und zu einer Versteti- gung der Zinsbelastung führen. Schule: Wir haben im Februar Fragen zum extremen Zinsan- stieg gestellt, haben auf die Frage der Geldpolitik der National- bank und auf den Zusammenhang mit dem Finanzplatz Schweiz hingewiesen und haben dargelegt, dass eine zins- günstige Finanzierung der Hypotheken nun dringend anzu- streben sei. Der Bundesrat hat in seiner schriftlichen Antwort ausweichend geantwortet; er hat dann im August diese drastischen Mass- nahmen zur dringlichen Hypothekarzinsüberwachung be- schlossen. Hätte er die Fragen so aufgenommen, wie wir sie verstanden haben, dann wären wir um diese unselige Uebung herumgekommen. Ich muss mich leider als von der Antwort nicht befriedigt erklä- ren. #ST# 89.508 Motion Rechsteiner Einführung der Mietzinskontrolle Instauration du contrôle des loyers Wortlaut der Motion vom 15. Juni 1989 Der Bundesrat wird beauftragt, den eidgenössischen Räten umgehend einen dringlichen Bundesbeschluss für die Einfüh- rung einer Mietzinskontrolle auf der Basis der Kostenmiete, unter Ausschluss übersetzter Anlagekosten, zu unterbreiten. Mietzinserhöhungen sollen dabei nur aufgrund der tatsächli- chen und ausgewiesenen Kosten zulässig sein. Die Verzin- sung des Eigenkapitals ist auf den Zinssatz der ersten Hypo- thek zu beschränken. Die Ueberwälzung von Anlagekosten soll höchstens bis zum zulässigen Ertragswert zugelassen werden. Texte de la motion du 15 juin 1989 Le Conseil fédéral est chargé de soumettre sans délai aux Chambres fédérales un arrêté urgent instituant un contrôle des loyers sur la base des coûts et excluant le report de coûts d'investissement surfaits. Seules seront autorisées les hausses de loyer justifiées par un accroissement effectif et avéré des coûts. La rémunération du capital propre sera calculée exclusivement en fonction du taux de l'hypothèque en premier rang. Le report des frais d'investis- sement ne pourra se faire que jusqu'à concurrence de la va- leur de rendement autorisée. Mitunterzeichner-Cosignataires: Carobbio, Leuenberger Mo- ritz, Mauch Ursula, Meizoz (4) Schriftliche Begründung - Développement par écrit Die Wohnungsmietzinse sind angesichts der durchgeführten, der angekündigten und der noch bevorstehenden Mietzinser- höhungen für breite Kreise untragbar geworden. Bodenpreis- • explosion, Spekulation mit Wohnbauten und die sprunghafte Erhöhung der Hypothekarzinsen rufen nach einem dringli- chen Handeln des Gesetzgebers. Der Schutz der Mieterinnen und Mieter vor übersetzten Miet- zinsen im heutigen Recht (Bundesbeschluss über Massnah- men gegen Missbräuche im Mietwesen, der unverändert ins ordentliche Recht überführt werden soll) ist ungenügend. Die erneute - befristete - Einführung einer Mietzinskontrolle (Be- willigungspflicht für Mietzinserhöhungen) erweist sich als un- umgänglich. Die Motion fordert die Einführung der Mietzinskontrolle auf der Basis der Kostenmiete. Der Vermieter soll nur noch die ihm tat- sächlich erwachsenden und ausgewiesenen Kosten über- wälzen dürfen. Uebersetzte Anlagekosten haben unberück- sichtigt zu bleiben, wobei die Grenze beim zulässigen Ertrags- wert liegen soll. Für die Ueberwälzung der Hypothekarzinsen ist ein Maximalsatz vorzusehen. Durch die Kontrolle ist sicher- zustellen, dass dem Mieter nicht weitergegebene Kostensen- kungen berücksichtigt werden. Die Verzinsung des Eigenkapitals ist auf den Zinssatz der er- sten Hypothek zu beschränken, wobei der Zinssatz der Kanto- nalbanken massgebend sein soll. Die Ueberwälzung der Teuerung auf die Mietzinse (Art. 15 Abs. 1 Bst. d BMM in Ver- bindung mit Art. 11 VMM) hat zu entfallen, erhält das inve- stierte Eigenkapital doch mittel- oder längerfristig in der Regel ohnehin eine hohe oder übersetzte Realrendite. Für die Dauer der Mietzinskontrolle sind zudem die markt- bezogenen Erhöhungsgründe ausser Kraft zu setzen (ins- besondere Art. 15 Abs. 1 Bst. a BMM). Ebenso ist der Ueber- wälzungssatz von Artikel 10 Absatz 1 VMM herabzusetzen, der sich heute nicht mehr rechtfertigen lässt.</w:t>
      </w:r>
    </w:p>
    <w:p>
      <w:r>
        <w:t>Schweizerisches Bundesarchiv, Digitale Amtsdruckschriften Archives fédérales suisses, Publications officielles numérisées Archivio federale svizzero, Pubblicazioni ufficiali digitali Interpellation der freisinnig-demokratischen Fraktion Anstieg des schweizerischen Zinsniveaus Interpellation du groupe radical-démocratique Hausse des taux d'intérêt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16 Séance Seduta Geschäftsnummer 90.345 Numéro d'objet Numero dell'oggetto Datum 04.10.1990 - 15:00 Date Data Seite 1847-1849 Page Pagina Ref. No 20 019 020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