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90.326 vom 18. September 1991</w:t>
      </w:r>
    </w:p>
    <w:p>
      <w:r>
        <w:t>Bundesverwaltung, 1991-09-18, DE</w:t>
      </w:r>
    </w:p>
    <w:p>
      <w:r>
        <w:rPr>
          <w:b/>
        </w:rPr>
        <w:t xml:space="preserve">Quelle: </w:t>
      </w:r>
      <w:r>
        <w:t>https://mcp.opencaselaw.ch/entscheid/ch_vb_90.326</w:t>
      </w:r>
    </w:p>
    <w:p>
      <w:r>
        <w:t>FR: CH_VB 90.326 du 18 septembre 1991</w:t>
      </w:r>
    </w:p>
    <w:p>
      <w:r>
        <w:t>IT: CH_VB 90.326 del 18 settembre 1991</w:t>
      </w:r>
    </w:p>
    <w:p>
      <w:pPr>
        <w:pStyle w:val="Heading2"/>
      </w:pPr>
      <w:r>
        <w:t>Erwägungen</w:t>
      </w:r>
    </w:p>
    <w:p>
      <w:r>
        <w:rPr>
          <w:b/>
        </w:rPr>
        <w:t>E. 18</w:t>
      </w:r>
    </w:p>
    <w:p>
      <w:r>
        <w:t>September 1991 N 1509 Postulat Portmann fédérale - pouvoir suprême de la Confédération - participe dès le début à la formulation de la volonté de l'Etat en matière de traités internationaux lorsqu'il y va de la sécurité de la Suisse et de sa position en Europe et dans la famille des peu- ples. Mitunterzeichner-Cosignataires: Burckhardt, David, Dietrich, Oehler, Oester, Sager, Wyss Paul (7) Schriftliche Begründung - Développement par écrit Die anvisierten Verfassungsbestimmungen lauten seit bald anderthalb Jahrhunderten gleich. Ihre rechtliche Bedeutung ist anerkanntermassen unklar und ihre Formulierung teilweise unrichtig. Welche aussenpolitische Kompetenz der Bundesversamm- lung, der Vertretung des Souveräns, zusteht und welche aus- senpolitische Funktion dem Bundesrat zukommt, sind Fra- gen, die von der Politik und nicht von der Rechtswissenschaft klarzustellen sind. Die Schweiz steht am Anfang einer neuen geschichtlichen Phase Europas. Sie muss sich ihre Stellung auf dem Kontinent neu erkämpfen. Bundesrat und Parlament sind sich einig, dass dieser Kampf Sinn hat, wenn darob die innere Geschlos- senheit unseres Landes nicht zerfällt, sondern erhalten bleibt. Um Zerreissproben abzuwenden, sollte die Bundesversamm- lung, als direkte Volksvertretung, die aussenpolitischen Schritte der Schweiz ins neue Europa und in die Völkerge- meinschaft-im Schulterschluss mit dem Bundesrat-von An- fang an entscheidend mitbestimmen. Schriftliche Stellungnahme des Bundesrates vom23. Mail990 Rapport écrit du Conseil fédéral du 23 mai 1990 1. Die Kompetenzverteilung beim Abschluss von völkerrechtli- chen Verträgen richtet sich nach Artikel 85 Ziffer 5 und Arti- kel 102 Ziffer 8 der Bundesverfassung. Artikel 85 Ziffer 5 sieht vor, dass «Bündnisse und Verträge mit dem Auslande» in den Geschäftskreis der Bundesversammlung fallen. Nach Arti- kel 102 Ziffer 8 wahrt der Bundesrat «die Interessen der Eidge- nossenschaft nach aussen, wie namentlich ihre völkerrechtli- chen Beziehungen, und besorgt die auswärtigen Angelegen- heiten überhaupt». Aufbauend auf dieser normativen Regelung hat sich eine feste Praxis beim Abschluss von Staatsverträgen entwickelt. Dabei wirkt jedes Verfassungsorgan gemäss seiner spezifischen Funktion und Eignung am Verfahren mit. Der Bundesrat als völkerrechtlicher Vertreter der Schweiz führt die Verhandlun- gen. Die Bundesversammlung fällt den landesrechtlich mass- gebenden Entscheid über Annahme oder Ablehnung des Ver- trages, soweit nicht der Bundesrat zum selbständigen Ver- tragsabschluss ermächtigt ist. Wie in anderen Bereichen der Staatsleitung stehen Parlament und Regierung somit auch hier in fortdauernder Kooperation, in ständiger Durchdringung und gegenseitiger Abhängigkeit. Die Gewalten wirken zusammen. Die Bundesversammlung hat vor und während der Verhandlungen mannigfache Mög- lichkeiten zur Einwirkung auf den Bundesrat. Sie kann über parlamentarische Vorstösse, über Diskussionen im Plenum oder über ihre aussenpolitischen Kommissionen Einfluss auf den Bundesrat nehmen. Ferner kommt der parlamentarischen Genehmigung eine antizipierende Vorauswirkung zu. Der Bundesrat ist gezwungen, bei der Verhandlungsführung auf die Zielvorstellungen der Bundesversammlung Rücksicht zu nehmen, wenn er nicht die Gefahr einer Ablehnung des Vertra- ges in Kauf nehmen will. Mithin kann festgestellt werden, dass die geltende Verfassungsordnung der Bundesversammlung ausreichend Raum zur wirkungsvollen Einflussnahme auf die Staatsverträge gewährt. Weil sich diese Verteilung der Zuständigkeiten der Bundesor- gane bewährt hat, wurde sie übrigens auch von der Experten- kommission für die Vorbereitung einer Totalrevision der Bun- desverfassung in Artikel 85 Absatz 1 Litera b sowie Artikel 98 Absatz 2 des Verfassungsentwurfes von 1977 übernommen. 2. Die geltende Kompetenzverteilung beim Abschluss von Staatsverträgen entspricht ferner den Bedürfnissen des inter- nationalen Verkehrs und den qualitativen Besonderheiten des Staatsvertrages. Im Gegensatz zur relativ autonom ablaufen- den innerstaatlichen Rechtsetzung muss beim Abschluss von völkerrechtlichen Verträgen laufend Rücksicht auf die auslän- dischen Partner und ihre andere, oft entgegengesetzte Inter- essenlage genommen werden. Jede Seite muss durch wech- selseitiges Entgegenkommen Kompromisse ermöglichen. Verhandlungen müssen scheitern, wenn die Delegationen durch detaillierte Anordnungen in verbindlicher Form einge- bunden sind. Zudem ist eine wirksame Verhandlungsführung auf Geheimhaltung und Diskretion angewiesen. Der anderen Seite dürfen die eigenen Vorstellungen, Absichten und die Zu- geständnisbereitschaft nicht vollständig einsichtig sein. Wegen dieser Besonderheiten des Staatsvertrages kann die Bundesversammlung mit ihrem notwendigerweise langwieri- gen, auf verbindliche Entscheide ausgerichteten, von grosser Publizität begleiteten Verfahren beim Abschluss von völker- rechtlichen Verträgen nur in sehr beschränktem Masse noch stärker einbezogen werden. 3. Der Bundesrat legt Wert darauf, bei besonders wichtigen Staatsverträgen die Bundesversammlung schon frühzeitig in die Willensbildung einzubeziehen, um die schweizerische Hal- tung und die grossen aussenpolitischen Richtlinien gemein- sam festzulegen. So hat er etwa bei der Gestaltung des Ver- hältnisses der Schweiz zur Europäischen Gemeinschaft und den Verhandlungen über einen Europäischen Wirtschafts- raum die Bundesversammlung und ihre aussenpolitischen Kommissionen schon mehrfach informiert und die gemein- same Diskussion gesucht. Er wird es auch in Zukunft nicht un- terlassen, in diesem Bereich das kooperative Zusammenwir- ken zu suchen. Aufgrund dieser Ueberlegungen hält es der Bundesrat nicht für angebracht, die Bundesverfassung im angesprochenen Teilbereich der Staatsleitung zu revidieren. Schriftliche Erklärung des Bundesrates Déclaration écrite du Conseil fédéral Der Bundesrat beantragt, die Motion abzulehnen. M. Felber, conseiller fédéral: Un élément parfaitement nou- veau intervient et nous permet de justifier de manière plus pré- cise la prise de position du Conseil fédéral. En effet, vous avez pris une série de décisions concernant les modifications de la loi sur les rapports entre les conseils au titre «Mitwirkung im Bereich der Aussenpolitik», notamment à l'article 47bis, lettre a (nouveau) qui doit encore être traité par le Conseil des Etats et qui répond au postulat même et au thème de la motion de M. Portmann. Abstimmung - Vote Für Ueberweisung der Motion 14 Stimmen Dagegen 30 Stimmen #ST# 90.473 Postulat Portmann Schweizerische Politik in der Nachkriegszeit La Suisse face à l'Europe d'après-guerre Wortlaut des Postulates vom 22. März 1990 Der Bundesrat wird eingeladen, ein Team von Schweizer Ge- schichtsforschern zu beauftragen, gemeinsam und innert dreier Jahre einen Bericht über die äussere und innere Sicher- heitspolitik sowie über die Unabhängigkeits- und Neutralitäts-</w:t>
      </w:r>
    </w:p>
    <w:p>
      <w:r>
        <w:t>Schweizerisches Bundesarchiv, Digitale Amtsdruckschriften Archives fédérales suisses, Publications officielles numérisées Archivio federale svizzero, Pubblicazioni ufficiali digitali Motion Portmann Mitwirkung der Gewalten bei der Sicherheits- und Staatsvertragspolitik der Schweiz Motion Portmann Politique de sécurité et traités avec l'étranger. Participation active du Parlement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90.326 Numéro d'objet Numero dell'oggetto Datum 18.09.1991 - 08:00 Date Data Seite 1508-1509 Page Pagina Ref. No</w:t>
      </w:r>
    </w:p>
    <w:p>
      <w:r>
        <w:rPr>
          <w:b/>
        </w:rPr>
        <w:t>E. 20</w:t>
      </w:r>
    </w:p>
    <w:p>
      <w:r>
        <w:t>020 293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