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90.3175 vom 17. Juni 1992</w:t>
      </w:r>
    </w:p>
    <w:p>
      <w:r>
        <w:t>Bundesverwaltung, 1992-06-17, DE</w:t>
      </w:r>
    </w:p>
    <w:p>
      <w:r>
        <w:rPr>
          <w:b/>
        </w:rPr>
        <w:t xml:space="preserve">Quelle: </w:t>
      </w:r>
      <w:r>
        <w:t>https://mcp.opencaselaw.ch/entscheid/ch_vb_90.3175</w:t>
      </w:r>
    </w:p>
    <w:p>
      <w:r>
        <w:t>FR: CH_VB 90.3175 du 17 juin 1992</w:t>
      </w:r>
    </w:p>
    <w:p>
      <w:r>
        <w:t>IT: CH_VB 90.3175 del 17 giugno 1992</w:t>
      </w:r>
    </w:p>
    <w:p>
      <w:pPr>
        <w:pStyle w:val="Heading2"/>
      </w:pPr>
      <w:r>
        <w:t>Erwägungen</w:t>
      </w:r>
    </w:p>
    <w:p>
      <w:r>
        <w:rPr>
          <w:b/>
        </w:rPr>
        <w:t>E. 17</w:t>
      </w:r>
    </w:p>
    <w:p>
      <w:r>
        <w:t>juin 1992 Suisse une option théorique, mais avec les accords bilatéraux, multilatéraux pour autant que ceux-ci survivent à une opéra- tion Espace économique européen où nous serions les seuls en Europe occidentale à n'être pas partie pleine et entière au traité. Mais cela est une autre histoire et relèvera, le moment venu, de votre compétence. En attendant, j'aimerais dire et répéter que la pratique de l'application du noyau dur de la lex Friedrich demeure jusqu'à l'échéance du délai transitoire fin 1997 et que l'affaire Sud Provizel ne saurait dès lors être invo- quée comme précédent En ce qui concerne le modèle danois - je ne parle pas de la votation des Danois sur Maastricht mais du modèle danois concernant la situation de l'acquisition immobilière des étran- gers au Danemark, que nous allons sans doute étudier plus avant -j'attire votre attention, Monsieur Engler, sur une diffé- rence fondamentale entre le droit danois qui va nous inspirer et la lex Friedrich dont nous nous réclamons. Le modèle da- nois est fondé sur une base absolument non discriminatoire. Pour les étrangers et pour les Danois, c'est la même règle qui s'applique, alors que c'est précisément là que - si vous me permettez d'utiliser une expression de la campagne vaudoi- se - «la chatte a mal aux pieds», avec la lex Friedrich, qui, elle, est fondamentalement discriminatoire. Nous le disons au Parlement depuis 1965, et ce que nous au- rions souhaité qu'il n'arrivât point s'est quand même produit Si, pour plus de sagesse, nous avions à vous proposer une fois l'application du modèle danois, sachez bien que c'est un modèle non discriminatoire qui, par son esprit et son fonde- ment, ne ressemble en rien à la lex Friedrich. J'ai mis ainsi les points sur les i et même sur les y. Bundi: Ich möchte nur drei kurze Bemerkungen machen: 1. Der Interpretation des Niederlassungsvertrages zwischen der Schweiz und Italien, wie Sie soeben von Herrn Bundesrat Delamuraz vorgenommen worden ist, können wir keinesfalls zustimmen. 2. Ich habe mit einiger Genugtuung zur Kenntnis genommen, dass Herr Bundesrat Delamuraz aber auch der Auffassung ist, dass diese ganze Angelegenheit noch mit der Geschäftsprü- fungskommission näher erörtert werden soll. Ich bin der Ge- schäftsprüfungskommission und deren Präsidenten dankbar, wenn sie sich dieser Materie noch einmal vertieft annehmen. 3. Vom Bundesrat erwarten wir, wenn ères wirklich ernst meint mit den Ersatzmassnahmen, welche im Hinblick auf die erste Etappe der Aufhebung der Lex Friedrich und auf den 1. Ja- nuar 1993 bereitliegen sollen, dass er diese Ersatzmassnah- men nicht auf die Kantone und Gemeinden abschiebt, son- dern dass der Bund sie selber vornimmt, mit entsprechenden Vorschlägen für Aenderungen und allenfalls neuen Geset- zeserlassen. #ST# 90.045 Militärversicherung. Bundesgesetz Assurance militaire. Loi Differenzen - Divergences Siehe Seite 488 hiervor - Voir page 488 ci-devant Beschluss des Ständerates vom 2. Juni 1992 Décision du Conseil des Etats du 2 juin 1992 Art. 1 Abs. 1 Bst. c, g Antrag der Kommission Zustimmung zum Beschluss des Ständerates Art. 1 al. 1 let. c, g Proposition de la commission Adhérer à la décision du Conseil des Etats Seiler Rolf, Berichterstatter: Es wäre schön, wenn der Vorsit- zende bereinigte Papiere hätte, dann wären auch unsere Bera- tungen einfacher durchzuführen! Nach der Beratung dieses Geschäftes haben wir dem Stände- rat die Vorlage mit 48 Differenzen zurückgegeben. Der Stän- derat hat sich in 38 Fällen uns angeschlossen, und es verblei- ben 10 Differenzen. Ich werde sie kurz kommentieren. Die ersten zwei Differenzen betreffen Artikel 1 Absatz 1 in be- zug auf die versicherten Personen. Ihr Rat hat beschlossen, den Buchstaben c zu streichen; der Ständerat will aber am Buchstaben c festhalten, d. h., es sollen auch Bundesbedien- stete, die zu einer Truppe oder Zivilschutzorganisation abkom- mandiert werden, der Militärversicherung unterstellt werden. Die Kommission beantragt Ihnen mit 10 zu 4 Stimmen, dem Ständerat zu folgen. Die zweite Differenz zu Artikel 1 Absatz 1 betrifft Buchstabe g. Bei Buchstabe g haben wir gemäss Entwurf Bundesrat be- schlossen, dass der Bundesrat hier die Kompetenz hat, allen- falls durch Verordnung festzulegen, wer der Militärversiche- rung unterstellt ist Der Ständerat hat diese Kompetenzdelega- tion gestrichen. Er möchte die Delegation auf die eigentlichen Vollzugsprobleme und Vollzugsvorschriften beschränken und die versicherten Personen in Artikel 1, das heisst im Gesetz, abschliessend nennen. Ein Problem bleibt hier bestehen, und ich habe den Auftrag, im Namen der Kommission eine Erklärung abzugeben. Es betrifft die Militärversicherung der Leute, die an Veranstaltungen von Jugend + Sport teilnehmen. Es ist vorgesehen, das bisherige Mindestalter von 14 Jahren für die Teilnehmer von solchen Veranstaltungen allenfalls auf 10 Jahre zu senken. Da stellt sich die Frage, ob es immer noch angebracht ist, dass die Teil- nehmer an solchen Veranstaltungen der Militärversicherung unterstellt sind. Die Kommission hat sich orientieren lassen, dass zu prüfen sein wird-sofern dieses Alter tatsächlich auf 10 Jahre gesenkt wird -, ob diese Teilnehmer von Jugend + Sport weiterhin der Militärversicherung unterstellt werden sollen. Sollte diese Prü- fung ergeben, dass man auf diese Unterstellung verzichtet, würden wir vom Bundesrat für die Aenderung von Artikel 1 Ab- satz 1 Buchstabe g Ziffer 6 eine neue Vorlage erhalten, in dem Sinne, dass Ziffer 6 gestrichen würde. Für heute wollen wir in der Kommission uns mit 11 zu 0 Stimmen dem Ständerat an- schliessen. Das sind die Differenzen bei Artikel 1. M. Pidoux, rapporteur: Je ne reviendrai pas sur le nombre des divergences antérieures. Actuellement, nous sommes au bout; il n'y en a quasiment plus après la navette et les proposi- tions de votre commission. Je ferai toutefois une remarque qui concerne une décision de la Commission de rédaction. Cette dernière a décidé de biffer, dans la version française, les termes «par les influences subies ou par des influences dues» aux articles 4, 5, 17 et 82. Il ne s'agit que d'une modalité de rédaction et non pas d'un aspect de fond. Le Conseil des Etats s'est rallié à la grande divergence que nous avions créée qui concernait les gardes-frontière qui ne seront plus soumis à l'obligation d'assurance. Sur les autres points, nous nous sommes ralliés et je ne vais pas commencer à vous donner des détails inutiles. Angenommen -Adopté Art. 1a Antrag der Kommission Mehrheit Zustimmung zum Beschluss des Ständerates Minderheit (Allenspach, Sandoz) Festhalten Art.la Proposition de la commission Majorité Adhérer à la décision du Conseil des Etats</w:t>
      </w:r>
    </w:p>
    <w:p>
      <w:r>
        <w:t>Schweizerisches Bundesarchiv, Digitale Amtsdruckschriften Archives fédérales suisses, Publications officielles numérisées Archivio federale svizzero, Pubblicazioni ufficiali digitali Dringliche Interpellation Steffen Anwendung der Lex Friedrich im Kanton Graubünden Interpellation urgente Steffen Application de la lex Friedrich dans les Grisons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13 Séance Seduta Geschäftsnummer 90.3175 Numéro d'objet Numero dell'oggetto Datum 17.06.1992 - 15:00 Date Data Seite 1083-1090 Page Pagina Ref. No</w:t>
      </w:r>
    </w:p>
    <w:p>
      <w:r>
        <w:rPr>
          <w:b/>
        </w:rPr>
        <w:t>E. 20</w:t>
      </w:r>
    </w:p>
    <w:p>
      <w:r>
        <w:t>021 253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