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90.271 vom 18. September 1991</w:t>
      </w:r>
    </w:p>
    <w:p>
      <w:r>
        <w:t>Bundesverwaltung, 1991-09-18, DE</w:t>
      </w:r>
    </w:p>
    <w:p>
      <w:r>
        <w:rPr>
          <w:b/>
        </w:rPr>
        <w:t xml:space="preserve">Quelle: </w:t>
      </w:r>
      <w:r>
        <w:t>https://mcp.opencaselaw.ch/entscheid/ch_vb_90.271</w:t>
      </w:r>
    </w:p>
    <w:p>
      <w:r>
        <w:t>FR: CH_VB 90.271 du 18 septembre 1991</w:t>
      </w:r>
    </w:p>
    <w:p>
      <w:r>
        <w:t>IT: CH_VB 90.271 del 18 settembre 1991</w:t>
      </w:r>
    </w:p>
    <w:p>
      <w:pPr>
        <w:pStyle w:val="Heading2"/>
      </w:pPr>
      <w:r>
        <w:t>Erwägungen</w:t>
      </w:r>
    </w:p>
    <w:p>
      <w:r>
        <w:rPr>
          <w:b/>
        </w:rPr>
        <w:t>E. 18</w:t>
      </w:r>
    </w:p>
    <w:p>
      <w:r>
        <w:t>septembre 1991 sieht immer wieder fest. Er kann die führungsmässige Verant- wortung nur dann tragen, wenn er gleichzeitig auch über die personalpolitischen Kompetenzen und die personalrechtliche Flexibilität verfügt. Mein Vorschlag ist übrigens keineswegs revolutionär und neu. Im neuen ETH-Gesetz hat dieser Rat vor kurzem unbestritten die Bestimmung aufgenommen, dass der ETH-Rat die Profes- soren öffentlich- oder privatrechtlich anstellen kann. Dort war offenbar die privatrechtliche Anstellung kein Dorn im Auge des Herrn Vollmer. Massgebend dabei sind dort die Bedürfnisse von Lehre und Forschung. Wir sollten dem Bundesrat die glei- che Flexibilität geben; für ihn muss die optimale Verwaltungs- führung massgebend sein. Ich habe meinen Vorstoss bewusst als allgemeine Anregung eingebracht. Es geht mir um die skizzierte Stossrichtung und nicht um Detailfragen. Detailfragen können, falls Sie der Initia- tive Folge geben, dann in der Kommission frei formuliert und ausgestaltet werden, solange sie sich im Rahmen der allge- meinen Stossrichtung meines Vorstosses bewegen. Selbst der Bundesrat wünscht, das Dienstrecht des obersten Kaders des Bundes flexibilisieren und besser den Marktverhältnissen anpassen zu können. Geben wir doch dem Bundesrat diese Flexibilität! Geben Sie meiner Initiative Folge! Abstimmung - Vote Für den Antrag der Mehrheit Für den Antrag der Minderheit 75 Stimmen 28 Stimmen #ST# 91.004 Internationale Menschenrechtspakte. Beitritt der Schweiz Pactes internationaux relatifs aux droits de l'homme. Adhésion de la Suisse Botschaft, Gesetz- und Beschlussentwürfe vom 30. Januar 1991 (BBII1189) Message, projets de loi et d'arrêté du 30 Janvier 1991 (FF 11129) Kategorie III, Art. 68 GRN -Catégorie III, art. 68 RCN Herr Bund! unterbreitet im Namen der Kommission den fol- genden schriftlichen Bericht: Der internationale Pakt über die wirtschaftlichen, sozialen und kulturellen Rechte («Pakt l») und der internationale Pakt über die bürgerlichen und politischen Rechte («Pakt II»), die am 16. Dezember 1966 durch einstimmigen Beschluss der Gene- ralversammlung der Vereinten Nationen verabschiedet wur- den, sind - ratifiziert von mehr als 90 Staaten - 1976 in Kraft getreten. Der Beitritt zu diesen Pakten wird Ihnen nun mit An- trag auf Zustimmung unterbreitet. Pakt l enthält einen Katalog wirtschaftlicher, sozialer und kultu- reller Rechte, zu deren voller Verwirklichung sich jeder Ver- tragsstaat verpflichtet. Pakt II dagegen garantiert die klassi- schen Menschenrechte und Grundfreiheiten, wobei sich jeder Vertragsstaat verpflichtet, dafür Sorge zu tragen, dass jede Person, die in diesen Rechten verletzt worden ist, das Recht hat, Beschwerde einzulegen. Die Unterschiede in bezug auf die jeweilige Rechtsnatur und die praktische Umsetzung der in diesen Pakten enthaltenen Rechte machten es notwendig, statt eines einzigen zwei Pakte auszuarbeiten; dies obschon beide Pakte eigentlich ein Ganzes bilden, in dem Masse näm- lich, als nach dem Grundsatz der Unteilbarkeit der Menschen- rechte die wirtschaftlichen, sozialen und kulturellen Men- schenrechte das unabdingbare Gegenstück der bürgerlichen und politischen Rechte sind. Die Aufteilung in zwei Pakte er- scheint auch dadurch gerechtfertigt, dass die in Pakt l enthal- tenen Rechte ein Programm darstellen, zu dessen Verwirkli- chung sich der Vertragsstaat verpflichtet, um das allgemeine Wohl in einer demokratischen Gemeinschaft zu fördern, wäh- rend mit dem Beitritt zu Pakt II sich der Vertragsstaat zur Ach- tung der darin enthaltenen demokratischen Rechte verpflich- tet. Alle in Pakt l gewährleisteten Rechte entsprechen unserer Rechtsordnung und unseren Grundvorstellungen in der Sozi- algesetzgebung und im Arbeitsrecht, so dass keine Vorbe- halte in bezug auf die Ratifizierung dieses Paktes notwendig waren. Demgegenüber sind nicht alle im Pakt II gewährleisteten Rechte mit unserer geltenden Rechtsordnung vereinbar, und es mussten Vorbehalte angebracht werden. Zu erwähnen sind beispielsweise: - ein Vorbehalt in bezug auf die Tatsache, dass die in Arti- kel 10 Paragraph 2 Buchstabe b des Paktes II vorgesehene Trennung von jugendlichen Beschuldigten und Erwachsenen in unserem Land nicht ausnahmslos gewährleistet wird; - ein Vorbehalt betreffend die fremdenpolizeiliche Bundesge- setzgebung, nach welcher Aufenthalts- und Niederlassungs- bewilligungen nur für das Gebiet des ausstellenden Kantons gültig sind; - ein Vorbehalt im Bereich der Strafrechtspflege, namentlich in bezug auf die Unentgeltlichkeit des Beistandes eines amtli- chen Verteidigers und eines Dolmetschers; -Vorbehalte betreffend gewisse Bestimmungen des Straf- rechts. Von diesen Vorbehalten abgesehen, stellt sich die Frage nach der Anwendbarkeit der in den Pakten l und II enthaltenen Be- stimmungen in der Schweiz. Wie alle internationalen Verträge sind diese Pakte direkt anwendbar, da sie gleich nach ihrem Inkrafttreten für unser Land einen integrierenden Bestandteil der schweizerischen Rechtsordnung bilden und - soweit sie Rechtsregeln enthalten - für die schweizerischen Behörden eine Verpflichtung des internationalen Rechts darstellen. Die in Pakt l gewährten Rechte erzeugen grundsätzlich keine subjektiven und Justitiaren Rechte. Einzelpersonen können sie vor schweizerischen Verwaltungs- und Gerichtsbehörden nicht direkt anrufen. Die Vorschriften des Paktes l richten sich an die Gesetzgeber der Vertragsstaaten; diese sind gehalten, die Vertragsbestimmungen als Richtlinien für die Gesetzge- bung zu betrachten. Dagegen erscheint die Anwendung der Bestimmungen im Pakt II wegen der Natur der in ihm enthaltenen Rechte nicht so selbstverständlich. Wenn gemäss Praxis des Bundesgerichts die aus der Europäischen Menschenrechtskonvention (EMRK) fliessenden Rechte von Natur her verfassungsrechtli- chen Inhalt haben, ist es im Interesse der Rechtssicherheit sehr wichtig, eine klare gesetzliche Grundlage für die prozes- suale Gleichbehandlung von Beschwerden wegen Verletzung der Pakte und der EMRK und solchen wegen Verletzung ver- fassungsmässiger Rechte zu schaffen. Es rechtfertigt sich deshalb, Artikel 86 des BG über die Organisation der Bundes- rechtspflege (OG) mit einem neuen Absatz 4 in dem Sinne zu ergänzen, dass allgemeine Beschwerden wegen Verletzung direkt anwendbarer Bestimmungen multilateraler Staatsver- träge zum Schütze der Menschenrechte und Grundfreiheiten erst nach Erschöpfung des kantonalen Instanzenzugs zuläs- sig sind. Die Ratifizierung dieser zwei Verträge liegt auf der Linie der schweizerischen Aussenpolitik und des Einsatzes der Schweiz für die Menschenrechte, und zwar nicht mehr nur auf europäischer Ebene aufgrund unseres Beitritts zur EMRK, sondern ab heute auch noch weltweit. Man mag zwar bedau- ern, dass diese Ratifizierung nicht ohne Vorbehalte möglich ist, doch ist zu betonen, dass die Gründe für diese Vorbehalte in unserem geltenden Recht liegen, welches im Hinblick auf eine Uebereinstimmung mit den beiden Verträgen nachträgli- che Aenderungen zulässt; zudem erweisen sich die Vorbe- halte als notwendig, da unser Land seinen internationalen Ver- pflichtungen unbedingt und gewissenhaft nachkommen will.</w:t>
      </w:r>
    </w:p>
    <w:p>
      <w:r>
        <w:t>Schweizerisches Bundesarchiv, Digitale Amtsdruckschriften Archives fédérales suisses, Publications officielles numérisées Archivio federale svizzero, Pubblicazioni ufficiali digitali Parlamentarische Initiative (Allenspach) Dienstrecht der Beamten der Ueberklasse Initiative parlementaire (Allenspach) Statut des fonctionnaires hors-classe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90.271 Numéro d'objet Numero dell'oggetto Datum 18.09.1991 - 08:00 Date Data Seite 1489-1494 Page Pagina Ref. No</w:t>
      </w:r>
    </w:p>
    <w:p>
      <w:r>
        <w:rPr>
          <w:b/>
        </w:rPr>
        <w:t>E. 20</w:t>
      </w:r>
    </w:p>
    <w:p>
      <w:r>
        <w:t>020 287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