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90.228/90.229 vom 18. September 1991</w:t>
      </w:r>
    </w:p>
    <w:p>
      <w:r>
        <w:t>Bundesverwaltung, 1991-09-18, DE</w:t>
      </w:r>
    </w:p>
    <w:p>
      <w:r>
        <w:rPr>
          <w:b/>
        </w:rPr>
        <w:t xml:space="preserve">Quelle: </w:t>
      </w:r>
      <w:r>
        <w:t>https://mcp.opencaselaw.ch/entscheid/ch_vb_90.228_90.229</w:t>
      </w:r>
    </w:p>
    <w:p>
      <w:r>
        <w:t>FR: CH_VB 90.228/90.229 du 18 septembre 1991</w:t>
      </w:r>
    </w:p>
    <w:p>
      <w:r>
        <w:t>IT: CH_VB 90.228/90.229 del 18 settembre 1991</w:t>
      </w:r>
    </w:p>
    <w:p>
      <w:pPr>
        <w:pStyle w:val="Heading2"/>
      </w:pPr>
      <w:r>
        <w:t>Erwägungen</w:t>
      </w:r>
    </w:p>
    <w:p>
      <w:r>
        <w:rPr>
          <w:b/>
        </w:rPr>
        <w:t>E. 18</w:t>
      </w:r>
    </w:p>
    <w:p>
      <w:r>
        <w:t>septembre 1991 Ich finde diesen Punkt sogar wichtiger als die Entschädi- gungsfrage. Wir sitzen hier während der Session, während drei Wochen, ohne einen Arbeitsplatz zu haben, auf dem wir unsere Papiere liegen lassen könnten, von welchem wir ein ru- higes Telefongespräch führen könnten. Die Frage stellt sich noch akuter für die Nationalräte, deren Sitzungen bis zu zehn Stunden im Tage dauern. Ihre Kommission und der Nationalrat sind der Meinung, dass die Infrastruktur eines Parlamentariers verbessert werden muss. Dazu gehört auch die Möglichkeit, einen Mitarbeiter oder eine Mitarbeiterin - also geschlechtsneutral formuliert - zu engagieren, die einem gewisse Recherchierarbeiten oder Gespräche mit Chefbeamten abnehmen können. Ein Ver- gleich mit dem Ausland zeigt, dass wir bei uns geradezu laien- hafte Zustände haben. In anderen Ländern verfügen sämtliche Parlamentarier über verschiedene Hilfskräfte. Denken Sie daran, was wir zurzeit mitmachen, wenn wir pendeln, weil wir gleichzeitig in unseren Kantonen ein Wahlprogramm absolvie- ren müssen, aber hier in Bern nirgends einen Platz haben, um in Ruhe arbeiten zu können. Nun etwas zu den Kosten: Es ist wichtig, dass wir die Konse- quenzen unserer Beschlüsse kennen, und ich möchte Sie auf Seite 83 der Botschaft hinweisen. Dort haben Sie eine detail- lierte Zusammenstellung. Der Gesamtbetrag verändert sich je- doch, und zwar erfreulicherweise nach unten, so dass wir mit ungefähr 50 Millionen Franken rechnen müssen. Das ist si- cher viel Geld, aber wir hoffen, damit eine effizientere und ver- tiertere Arbeitsweise zu erhalten. Ich fasse zusammen: Sie werden in den Vorlagen A bis D un- sere Parlamentsarbeit verändern. Das Kommissionswesen wird gestrafft werden. Die Kommissionssitzungen finden in Blöcken statt, und Ad-hoc-Kommissionen werden zu Spezial- fällen. Normal werden ständige Kommissionen; verlangt wird dabei, dass sich der einzelne Parlamentarier das ganze Jahr hindurch vermehrt in seine Gebiete vertieft und auf aktuelle Geschehnisse in der Kommission selbst reagieren kann. All diese Arbeit soll nun auch anständig honoriert und durch Ar- beitsplätze beziehungsweise eine nützliche Infrastruktur echt unterstützt werden. Ich bitte Sie im Namen der Kommission, auf die Vorlage einzu- treten. Ich werde in der Detailberatung auf die einzelnen Artikel eingehen. Präsident: Ich möchte hier die Session - Entschuldigung, nur die Sitzung - mit einem schönen Satz schliessen: «Der Geist ist willig, aber das Fleisch wird kalt.» (Heiterkeit) Hier wird die Beratung dieses Geschäftes unterbrochen Le débat sur cet objet est interrompu Schluss der Sitzung um 13.00 Uhr La séance est levée à 13 h 00</w:t>
      </w:r>
    </w:p>
    <w:p>
      <w:r>
        <w:t>Schweizerisches Bundesarchiv, Digitale Amtsdruckschriften Archives fédérales suisses, Publications officielles numérisées Archivio federale svizzero, Pubblicazioni ufficiali digitali Parlamentarische Initiativen (Petitpierre/Rhinow) Parlamentsreform Initiatives parlementaires (Petitpierre/Rhinow) Réforme du Parlement In Amtliches Bulletin der Bundesversammlung Dans Bulletin officiel de l'Assemblée fédérale In Bollettino ufficiale dell'Assemblea federale Jahr 1991 Année Anno Band IV Volume Volume Session Herbstsession Session Session d'automne Sessione Sessione autunnale Rat Ständerat Conseil Conseil des Etats Consiglio Consiglio degli Stati Sitzung 03 Séance Seduta Geschäftsnummer 90.229 Numéro d'objet Numero dell'oggetto Datum 18.09.1991 - 08:00 Date Data Seite 679-684 Page Pagina Ref. No</w:t>
      </w:r>
    </w:p>
    <w:p>
      <w:r>
        <w:rPr>
          <w:b/>
        </w:rPr>
        <w:t>E. 20</w:t>
      </w:r>
    </w:p>
    <w:p>
      <w:r>
        <w:t>020 550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