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90.228 vom 26. September 1990</w:t>
      </w:r>
    </w:p>
    <w:p>
      <w:r>
        <w:t>Bundesverwaltung, 1990-09-26, DE</w:t>
      </w:r>
    </w:p>
    <w:p>
      <w:r>
        <w:rPr>
          <w:b/>
        </w:rPr>
        <w:t xml:space="preserve">Quelle: </w:t>
      </w:r>
      <w:r>
        <w:t>https://mcp.opencaselaw.ch/entscheid/ch_vb_90.228</w:t>
      </w:r>
    </w:p>
    <w:p>
      <w:r>
        <w:t>FR: CH_VB 90.228 du 26 septembre 1990</w:t>
      </w:r>
    </w:p>
    <w:p>
      <w:r>
        <w:t>IT: CH_VB 90.228 del 26 settembre 1990</w:t>
      </w:r>
    </w:p>
    <w:p>
      <w:pPr>
        <w:pStyle w:val="Heading2"/>
      </w:pPr>
      <w:r>
        <w:t>Erwägungen</w:t>
      </w:r>
    </w:p>
    <w:p>
      <w:r>
        <w:rPr>
          <w:b/>
        </w:rPr>
        <w:t>E. 26</w:t>
      </w:r>
    </w:p>
    <w:p>
      <w:r>
        <w:t>September 1990 N 1627 Parlamentarische Initiative. Parlamentsreform A cela s'ajoute toujours la question de savoir si cette fonction «annexe» est suffisamment rémunérée au vu des exigences requises et de la charge qu'elle implique. Par conséquent, c'est mal poser le problème que d'opposer parlement de milice et parlement de professionnels, question parfois très controversée. Des analyses scientifiques le prou- vent d'ailleurs: notre Parlement est aujourd'hui semi-profes- sionnel et comprend d'une part des députés dont la principale activité est la politique et d'autre part des parlementaires qui remplissent leur mandat parallèlement à une autre occupation exercée à plein temps, même si cette fonction qualifiée d'ac- cessoire leur prend quatre à huit mois par an. Il s'agit donc non pas de se demander s'il faut passer d'un parlement de milice à un parlement de professionnels, mais bien plutôt de mieux re- connaître le caractère professionnel de la fonction de député et de rémunérer celle-ci en conséquence, en rendant possible le plein temps en lieu et place d'une activité correspondant à peu près à un mi-temps. 4. Les propositions avancées, à titre d'exemples, n'ont pas toutes la même ampleur. Celles qui figurent sous points 1 à 5 relèvent de l'organisation avant tout tandis que les trois derniè- res vont plus profond. Il importe que l'on procède par étapes et qu'on mette en vigueur tout ce qui peut l'être rapidement et sans grande modification des textes légaux pertinents plutôt que d'attendre encore des années une proposition globale: il n'est pas nécessaire, par exemple, pour doter les membres du Parlement d'une assistance personnelle et matérielle suffi- sante, d'avoir pris définitivement position sur la professionnali- sation éventuelle du mandat parlementaire. II. Survol du contenu de l'initiative 1. On prévoit notamment que l'information doit être donnée aux commissions siégeant en commun, qu'il faut confier la co- ordination régulière des travaux aux présidents des deux com- missions et promouvoir la recherche de compromis directe- ment entre les commissions ou entre des délégations dési- gnées à cette fin; on songe aussi à l'extension du champ dé- volu aux commissions permanentes (cf. rapport final de la Commission d'étude «Avenir du Parlement» (78.058) no 4241 et 2). 2. On pense à renforcer le rôle du Bureau de chaque conseil et plus encore celui d'un comité commun aux deux bureaux qui serait chargé de la planification et de-relations plus substanti- elles avec le Conseil fédéral. La collaboration entre les différentes commissions et sous- commissions doit être organisée systématiquement. 3. Une claire répartition des rôles dans les relations avec l'étranger est d'autant plus nécessaire que tous les départe- ments sont amenés à développer leur «politique étrangère». L'importance des échanges avec l'opinion est aussi très grande et le Parlement doit pouvoir y tenir son rôle qui est es- sentiel. 4. Le paiement sur facture dans le cadre d'un crédit individua- lisé des travaux commandés par un parlementaire doit être aussi mis à l'ordre du jour. 5. Se pose en particulier la question de la représentation dans les conseils d'un conseiller fédéral. En plus des mesures touchant à l'organisation, nous propo- sons d'examiner des réformes fondamentales portant sur les structures. - La délégation de compétences de décision aux commis- sions est fort répandue au sein du Parlement italien, alors que les commissions jouent un rôle primordial au Sénat américain. Dans le travail législatif suisse, on pourrait passer directement au vote final des objets d'importance secondaire qui ne sont pas controversés, tout en réservant à la minorité de la commis- sion le droit de demander la discussion du projet considéré ou certains de ses aspects au plénum. On pourrait aussi imaginer une délégation des compétences décisionnelles dans le do- maine de la politique étrangère (participation), éventuellement dans le suivi de l'activité gouvernementale-(élaboration d'or- donnances, exécution en général), ainsi que dans le cadre de la haute surveillance exercée par le Parlement. - Nous aimerions considérer comme une possibilité la pleine rétribution du travail parlementaire. Les principaux arguments opposés à un parlement de «professionnels» tombent si l'on continue à autoriser le mandat parlementaire rempli à titre ac- cessoire, les députés étant alors toujours en prise directe sur la réalité extra-parlementaire, sur les acquis de professions dif- férentes et sur les problèmes économiques et sociaux. En ré- munérant ainsi les députés, on ouvrirait cette filière à tous les citoyens et citoyennes et on étendrait considérablement les possibilités de recrutement. On pourrait aussi confier plus faci- lement et plus rapidement à des députés exerçant leur fonc- tion à titre principal des mandats demandant une grande dis- ponibilité de la part de leur titulaire, comme dans le cas des membres de la Délégation des finances, des présidents des Commissions de gestion, etc. L'objection selon laquelle une inégalité se créerait entre les députés à titre principal et les parlementaires à titre accessoire ne porte guère; d'une part, cette «inégalité» résulterait d'une décision prise en toute liberté par chacun des députés. D'au- tre part, elle représenterait le moindre mal si l'on pense au dé- séquilibre qui existe actuellement entre les membres des Chambres fédérales, les uns disposant d'une bonne infra- structure à l'extérieur du Parlement et d'une pleine rétribution de leur activité, tandis que les autres remplissent leur mandat pratiquement sans aide, sans indemnisation extraparlemen- taire ou avec un salaire réduit. Enfin, il faut relever que la répu- tation et l'influence des députés continueraient à être indépen- dantes de leur rémunération et du nombre d'heures de travail accomplies puisqu'elles resteraient liées en priorité à la per- sonnalité, à la compétence et à l'entregent des intéressés. Le passage à une activité à plein temps n'y changerait pas grand-chose. - L'examen d'un traitement différent des objets par les deux Chambres devrait inciter à une discussion ouverte sur les pos- sibilités et les limites d'une telle rationalisation. Nous insistons une fois de plus sur le fait que l'égalité des deux Chambres ne doit pas être affectée. Il faut savoir, toutefois, que notre sys- tème quasi égalitaire est unique puisque même notre «mo- dèle», le Parlement américain, attribue des compétences diffé- rentes à ses deux chambres. Le Sénat a d'importantes préro- gatives dans le domaine de la politique étrangère et en matière de personnel. On pourrait ainsi examiner la question de savoir si les Chambres fédérales doivent disposer systématiquement de compétences semblables en matière de haute surveil- lance, dans le traitement des pétitions et dans la garantie ac- cordée aux constitutions cantonales ou si le conseil saisi en deuxième lieu d'un objet pourrait traiter certains projets dans le cadre d'une procédure simplifiée, etc. Même si cet examen ne devait pas être couronné de succès, il pourrait néanmoins nous donner l'occasion de renforcer d'une manière nouvelle, plus consciente, les aspects fondamentalement positifs de no- tre système bicaméral. En conclusion de cette note sommaire, les auteurs de l'initia- tive rappellent que la réflexion sur certains maux dont souffre le Parlement et sur les remèdes qu'il faut mettre en oeuvre a été entreprise bien avant leurs propositions comme la lecture du rapport final de la Commission d'étude sur l'avenir du Par- lement l'atteste. Il ne s'agit pas tant de dire des choses nouvel- les que de passer sans délai à la réalisation, par étapes, des mesures nécessaires. Antrag der Kommission Die Kommission beantragt dem Nationalrat einstimmig und ohne Enthaltungen, der parlamentarischen Initiative Folge zu geben. Proposition de la commission A l'unanimité et sans abstention, la commission propose au Conseil national de donner suite à l'initiative parlementaire. Angenommen - Adopté</w:t>
      </w:r>
    </w:p>
    <w:p>
      <w:r>
        <w:t>Schweizerisches Bundesarchiv, Digitale Amtsdruckschriften Archives fédérales suisses, Publications officielles numérisées Archivio federale svizzero, Pubblicazioni ufficiali digitali Parlamentarische Initiative (Petitpierre) Parlamentsreform Initiative parlementaire (Petitpierre) Réforme du Parlement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09 Séance Seduta Geschäftsnummer 90.228 Numéro d'objet Numero dell'oggetto Datum 26.09.1990 - 16:00 Date Data Seite 1624-1627 Page Pagina Ref. No 20 018 992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