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90.027 vom 5. Juni 1990</w:t>
      </w:r>
    </w:p>
    <w:p>
      <w:r>
        <w:t>Bundesverwaltung, 1990-06-05, DE</w:t>
      </w:r>
    </w:p>
    <w:p>
      <w:r>
        <w:rPr>
          <w:b/>
        </w:rPr>
        <w:t xml:space="preserve">Quelle: </w:t>
      </w:r>
      <w:r>
        <w:t>https://mcp.opencaselaw.ch/entscheid/ch_vb_90.027</w:t>
      </w:r>
    </w:p>
    <w:p>
      <w:r>
        <w:t>FR: CH_VB 90.027 du 5 juin 1990</w:t>
      </w:r>
    </w:p>
    <w:p>
      <w:r>
        <w:t>IT: CH_VB 90.027 del 5 giugno 1990</w:t>
      </w:r>
    </w:p>
    <w:p>
      <w:pPr>
        <w:pStyle w:val="Heading2"/>
      </w:pPr>
      <w:r>
        <w:t>Erwägungen</w:t>
      </w:r>
    </w:p>
    <w:p>
      <w:r>
        <w:rPr>
          <w:b/>
        </w:rPr>
        <w:t>E. 11</w:t>
      </w:r>
    </w:p>
    <w:p>
      <w:r>
        <w:t>avril 1990 Au nom des Commissions de gestion Les présidents: Karl Tschuppert, Conseil national Andréas Iten, Conseil des Etats 1990 - 250 48 Feuille fédérale. 142" année. Vol. II 721</w:t>
      </w:r>
    </w:p>
    <w:p>
      <w:r>
        <w:t>I. Rapport de la Commission de gestion du Conseil national sur ses inspections 1 Echange de lettres avec le Département fédéral de justice et police sur le thème de l'application du droit sur l'asile Suite à son inspection de l'application du droit sur l'asile (BÖ N 1987 753 s.), la Commission examine périodiquement une série de questions portant sur l'appli- cation du droit dans ce domaine. Nous continuons ici l'échange de vues entamé dans le dernier Rapport annuel (FF 1989 II 293 s., 332). II Avis du Département fédéral de justice et police du 22 mai 1989 sur les questions posées par la Commission de gestion en matière d'application du droit sur l'asile Le Département prend position comme il suit: III Application de la nouvelle procédure aux demandes pendantes L'analyse grammaticale du texte de loi fait qu'il ne peut y avoir de doute sur le fait que le nouveau droit s'applique aux procédures encore en suspens le 1er janvier 1988 lors de l'entrée en vigueur de la nouvelle loi sur l'asile du 20 juin 1986, comme le stipulent les dispositions finales de ladite loi. Non que la chose ait échappé au Parlement, puisque les deux révisions de la loi sur l'asile ont été amplement discutées aussi bien par la Commission que par le plénum. La portée procédurale de cette réglementation transitoire a été reconnue dès la première révision de la loi et le législateur s'est dès lors prononcé, conformément à la doctrine et à la jurisprudence dominantes, pour l'application immédiate du nouveau droit de procédure (cf. à ce sujet l'avis du professeur Alfred Kölz dans «Intertemporales Verwaltungsrecht», RDS N° 102, 1983, page 222). Lors de la deuxième révision, c'est le conseiller national Moritz Leuenberger qui a posé la question à la commission chargée de l'examen préalable. Ladite com- mission et plus tard les Chambres ont suivi la proposition du Conseil fédéral. Etant donné la clarté du texte de la loi, on ne peut parler de méprise du Parlement. L'égalité de droit des requérants ne s'en trouve nullement touchée et ce, pour deux raisons: 1. L'ancien droit donnait déjà aux autorités fédérales la possibilité de statuer au vu du seul dossier, sans devoir procéder à l'audition de l'intéressé; 2. Aujourd'hui comme hier, le DAR effectue toujours une audition lorsqu'il n'est pas permis de statuer au vu du dossier et qu'il est impossible de compléter ce dernier de manière satisfaisante par des éclaircissements appropriés. 722</w:t>
      </w:r>
    </w:p>
    <w:p>
      <w:r>
        <w:t>112 Tampon «R» Lors de la session de printemps de l'année 1989, le Conseil fédéral a accepté pour examen le postulat Oberholzer du 18 décembre 1987 sur l'abolition du tampon «R» et un postulat semblable du 13 janvier 1989 de la commission des pétitions et de l'examen des constitutions cantonales. Le Département examinera si le recours à un système de contrôle informatisé permettra de renoncer au «R» apposé dans les passeports. Il devra, ce faisant, tenir compte de la pratique suivie en la matière dans les autres pays, notamment chez les Douze, car seules des mesures coordonnées au niveau international empêcheront que les ressortissants étrangers ne remplissant pas les conditions d'entrée ne soient renvoyés d'un pays à un autre. 113 Constatation discrète des faits dans le pays d'origine Nous avons, ces dernières années, souligné dans plus d'une intervention parle- mentaire et dernièrement encore lors de l'enquête sur les cas Musey et Maza, l'importance d'établir, dans le pays d'origine du requérant, les faits avancés par lui. Les principes à respecter en l'occurrence varient d'un pays à l'autre, mais les constatations faites par les autorités suisses doivent être guidées par un principe fondamental qui est celui du respect des droits de la personnalité du requérant. Ni lui ni ses proches ne doivent être mis en danger par elles. Ceci étant, force est de souligner qu'il est nécessaire que ces constatations soient faites sur place, faute de quoi il serait bien souvent impossible de faire la distinction entre les pures affirmations d'un requérant qui dit avoir subi des préjudices et l'obligation qu'il a de par la loi de rendre vraisemblable ce qu'il avance. Le travail quotidien des autorités fédérales chargées d'accorder l'asile confirme d'ailleurs que les dires des requérants se révèlent être faux dans la très grande majorité des cas et que les documents qu'ils présentent à l'appui sont en grande partie falsifiés ou que leur contenu ne reflète pas la réalité. Ce qui est devenu le comportement du plus grand nombre, à savoir la tendance au mensonge et le désir de tromper les autorités, fait qu'il est impossible de croire les faits avancés avant d'en avoir vérifié la vraisemblance au sens de l'article 12 de la loi sur l'asile. 114 Décisions de renvoi en cas de rapatriement inexigible Nous avons modifié, d'après les remarques de votre commission, le dispositif des cas auxquels vous faites allusion. Si l'exécution du renvoi dans le pays d'origine est jugée impossible, le dispositif sera libellé comme suit: La police des étrangers du canton de ... est chargée du renvoi, lequel exclut le rapatriement. 115 Délais de remise des preuves Ils sont fondamentalement raisonnables donc acceptables (30 jours pour se procurer un papier dans le pays d'origine, dix jours pour faire traduire un 723</w:t>
      </w:r>
    </w:p>
    <w:p>
      <w:r>
        <w:t>document déposé et rédigé dans une autre langue que nos trois langues officielles, dix jours encore pour se prononcer sur le résultat d'une vérification demandée par nous). Ajoutons que nous faisons preuve de largesse et évitons tout formalisme excessif: en règle générale, nous acceptons les preuves mêmes remises une fois le délai échu, pour autant qu'elles arrivent avant l'envoi de la décision.</w:t>
      </w:r>
    </w:p>
    <w:p>
      <w:r>
        <w:rPr>
          <w:b/>
        </w:rPr>
        <w:t>E. 12</w:t>
      </w:r>
    </w:p>
    <w:p>
      <w:r>
        <w:t>Nouvelles remarques du 25 mai 1989 de la Commission de gestion sur la politique d'asile 121 Contradictions entre les procès-verbaux des centres d'enregistrement et ceux des cantons Quelques requêtes adressées à la Commission de gestion s'en prennent aux décisions qui dénient aux requérants toute crédibilité, sous prétexte qu'ils n'ont pas invoqué les mêmes motifs de fuite ou qu'ils les ont présentés de manière différente lors de l'audition qui se fait au centre d'enregistrement et lors de celle, plus serrée, qui suit et qui est du ressort du canton. Une formule du DAR revient constamment. D'après elle, l'invocation tardive de faits pouvant appuyer une demande d'asile permet de douter de leur véracité. L'expérience montrerait qu'un individu réellement menacé mentionne, dès la première audition aux autorités auprès desquelles il cherche protection, la totalité des principales raisons qui l'ont amené à fuir son pays. Ainsi les autorités chargées de statuer sur les demandes d'asile partent-elles de l'hypothèse que les faits essentiels non mentionnés lors de la première audition sont pure invention. Il y a lieu ici de considérer qu'une audition effectuée à la frontière ou dans un centre d'enregistrement et portant sur les motifs de la fuite ne peut être admise en qualité de preuve. La première audition ne saurait être comparée à la seconde, car elle n'est ni faite avec le même soin, ni par le même personnel et elle dure moins longtemps. Si l'audition matérielle se fonde sur le procès-verbal sommaire de la première audition, n'est plus alors considéré comme vrai que ce qui a été consigné en résumé par la police, laquelle travaille ici de manière sommaire. Les garanties prévues à l'article 15 et à l'article 16 de la loi sur l'asile ne seraient donc plus assurées lors de l'audition dont l'importance est capitale pour la suite. Nous vous prions de n'utiliser l'audition que se fait à la frontière et dans les centres d'enregistrement que pour départager les cas manifestement non fondés. Les procès-verbaux établis n'ont nulle force de preuve dans la suite de la procédure. En cas contraire, il faudrait accorder au requérant dès la première audition les droits qu'il a par la suite (droit d'être représenté, présence d'un représentant d'une organisation d'aide aux réfugiés, communication au requérant des droits qui sont les siens, procès-verbal détaillé de l'audition). 122 Absence de droit transitoire Le différend que nous avions relevé dans notre Rapport concernant les inspec- tions de 1988 subsiste. Il nous semble incontestable que le sens et le but de la révision étaient que l'audition d'un requérant se fasse dans tous les cas en 724</w:t>
      </w:r>
    </w:p>
    <w:p>
      <w:r>
        <w:t>présence d'un représentant d'une œuvre caritative. C'était aussi la raison du transfert de cette mesure dans la procédure cantonale. Ce principe demeure également valable pour les procédures accélérées que l'on applique aux étrangers entrés en Suisse illégalement (ordonnance du 3 oct. 1988) et il a été expressément reconnu aux œuvres d'entraide dans un entretien datant du 7 octobre 1988. Dans votre prise de position sur notre Rapport concernant les inspections de 1988, vous invoquez le principe de l'égalité devant la loi pour rejeter la recomman- dation que nous vous faisions de répéter si possible en présence de représentants des œuvres d'entraide les auditions des cas transitoires. Le problème soulevé n'est pas fondamentalement différent de celui que pose toute modification de la pratique. Le principe de l'égalité devant la loi ne signifie pas qu'il faille traiter les individus de façon également injuste. D'autre part, vous vous fondez - dans votre réponse du 22 mai 1989 - uniquement sur la possibilité, que personne ne conteste, de statuer au vu du dossier; vous n'abordez pas le problème que nous soulevons, à savoir que les dossiers des requérants dont la demande a été examinée dans la période transitoire ont été établis à la suite d'auditions non conformes à la loi (notamment parce qu'elles se sont faites sans la présence d'un représentant des œuvres d'entraide). Nous maintenons notre point de vue, vous laissons le choix de la décision et ne reviendrons plus sur la question. 123 Application en Turquie de la corresponsabilité familiale Nous vous prions d'accorder toute votre attention à un fait qui rend plus difficile l'apport de la preuve de réfugié: il arrive apparemment souvent que la police turque emprisonne, interroge, voire torture les parents proches d'un résistant kurde, autrement dit qu'elle les persécute à sa place. La personne arrivant en Suise est alors souvent un parent qui n'a pas encore été lui-même persécuté, mais dont les craintes peuvent se justifier. 124 Notre lettre du 15 novembre 1988 Nous vous remercions de votre lettre du 22 mai 1989. Nous nous réjouissons tout particulièrement que vous cherchiez à remplacer le tampon «R», que vous accordiez la priorité à la sauvegarde des droits de la personnalité du requérant lorsque vous constatez discrètement les faits dans son pays d'origine, que vous mentionniez dans le dispositif de renvoi l'exclusion du rapatriement, enfin que vous nous assuriez que vous tenez compte des preuves qui pourraient vous être remises après le délai imparti.</w:t>
      </w:r>
    </w:p>
    <w:p>
      <w:r>
        <w:rPr>
          <w:b/>
        </w:rPr>
        <w:t>E. 13</w:t>
      </w:r>
    </w:p>
    <w:p>
      <w:r>
        <w:t>Avis du 20 juin 1989 du Département fédéral de justice et police Le Département répond aux questions posées comme il suit: 725</w:t>
      </w:r>
    </w:p>
    <w:p>
      <w:r>
        <w:t>131 Contradictions entre les procès-verbaux des centres d'enregistrement et ceux des cantons La brève audition, qui a lieu dans les centres d'enregistrement conformément à l'article 10, 5e alinéa, de l'ordonnance sur l'asile, est une enquête sommaire qui vise à remplacer la première audition sommaire (cf. art. 13 loi sur l'asile) qui n'a pu avoir lieu à la frontière, faute de dépôt d'une demande à cet endroit, comme le voudrait la loi. La loi sur la procédure administrative est applicable aux auditions effectuées dans les centres d'enregistrement (sont donc fournies toutes les garanties de cette loi, notamment le droit d'être représenté), mais non à celles qui se font à la frontière. De surcroît, on établit dans les centres d'enregistrement des procès-verbaux formels qui sont retraduits dans la langue des requérants, à leur intention. Enfin, un film vidéo et une notice d'information écrite dans la langue du requérant rendent ce dernier attentif à ses droits. Aussi bien le procès-verbal de l'audition sommaire qui se fait à la frontière que celui de l'audition qui a lieu au centre d'enregistrement sont des preuves au sens de l'article 12 de la loi sur la procédure administrative. Il faut toutefois dissocier la question de la qualité de la preuve de celle de son appréciation. Lorsqu'il examine les preuves, le Délégué aux réfugiés ne tient compte du caractère sommaire des auditions effectuées dans les centres que s'il estime que les contradictions apparues entre les dires du requérant au centre d'enregistrement et ceux de l'audition proprement dite peuvent apporter un élément nouveau (motifs, identité du requérant, entrée dans le pays) à l'enquête et qu'elles sont considérables quant à leur teneur. 132 Absence de droit transitoire Nous avons pris acte du fait que la Commission de gestion du Conseil national maintient son point de vue quant au droit transitoire avant la 2e révision de la loi sur l'asile et qu'elle ne reviendra plus sur ce sujet. Ajoutons cependant, pour être parfaitement clair, que le différend qui nous sépare n'a aucun rapport avec la révision de l'ordonnance du 3 octobre 1988. 133 Application en Turquie du principe de la corresponsabilité familiale La corresponsabilité familiale au sens où les parents proches des membres de groupes de résistants kurdes seraient persécutés par les autorités à la place des résistants eux-mêmes n'existe pas en Turquie. Il est par contre tout à fait possible que ces parents proches soient interrogés dans le cadre d'une enquête de police judiciaire visant à déterminer les faits ou le lieu où se cache l'auteur d'un délit politique. De telles mesures n'ont rien à voir avec le droit d'asile, car elles ne forment pas la base d'une persécution de l'intéressé au sens de l'article 3 de la loi sur l'asile. A l'inverse, elles peuvent présenter un intérêt en matière d'octroi de l'asile si les autorités qui les prennent imputent à l'intéressé une attitude d'opposant politique. Si une telle attitude est imputée à toute une famille, il ne 726</w:t>
      </w:r>
    </w:p>
    <w:p>
      <w:r>
        <w:t>s'agira plus de corresponsabilité familiale, mais de persécution d'un clan pouvant faire l'objet d'une demande d'asile.</w:t>
      </w:r>
    </w:p>
    <w:p>
      <w:r>
        <w:rPr>
          <w:b/>
        </w:rPr>
        <w:t>E. 14</w:t>
      </w:r>
    </w:p>
    <w:p>
      <w:r>
        <w:t>B. L., contre le DFAE Le DFAE reconnaît que le service diplomatique et la politique des mutations peuvent avoir de graves conséquences pour les familles des diplomates. Aussi a-t-il récemment créé un Service de la famille à la Direction administrative et assure-t-il que l'on cherchera, d'entente avec le Service du personnel, des solutions de nature à compenser les inconvénients dont pourraient souffrir, en raison des obligations de service, les familles des diplomates.</w:t>
      </w:r>
    </w:p>
    <w:p>
      <w:r>
        <w:rPr>
          <w:b/>
        </w:rPr>
        <w:t>E. 15</w:t>
      </w:r>
    </w:p>
    <w:p>
      <w:r>
        <w:t>M. Mata, Neuchâtel, contre le DFJP Les Commissions de gestion ne sont pas habilitées à intervenir dans l'exécution des décisions prises en matière d'asile. La demande de prolongation de séjour déposée par ce candidat à l'asile non reconnu a donc été transmise au DFJP. Ce même DFJP a maintenu la date à laquelle la personne devra avoir quitté le territoire suisse.</w:t>
      </w:r>
    </w:p>
    <w:p>
      <w:r>
        <w:rPr>
          <w:b/>
        </w:rPr>
        <w:t>E. 16</w:t>
      </w:r>
    </w:p>
    <w:p>
      <w:r>
        <w:t>C. M., Zurich, contre le DFI Les enquêtes effectuées dans le cadre des microrecensements ont jusqu'à présent d'une part maintenu la protection des données, d'autre part permis d'identifier les personnes ayant pris part à ces enquêtes (en combinant l'adresse et le numéro du questionnaire). A la demande de la Commission de gestion du Conseil national, le 52 Feuille fédérale. 142' année. Vol. II 785</w:t>
      </w:r>
    </w:p>
    <w:p>
      <w:r>
        <w:t>Departement fédéral de l'intérieur a fait mentionner en haut des questionnaires un texte explicatif dont il ressort qu'il est évidemment possible d'identifier le porteur d'un numéro, mais que ces indications sur sa personne seront détruites dès que le questionnaire aura été dépouillé.</w:t>
      </w:r>
    </w:p>
    <w:p>
      <w:r>
        <w:rPr>
          <w:b/>
        </w:rPr>
        <w:t>E. 17</w:t>
      </w:r>
    </w:p>
    <w:p>
      <w:r>
        <w:t>R. Radicevic, Zürich, reconsidération Le requérant ne voit pas pourquoi l'on considère que son recours de droit public a été introduit trop tard selon le droit suisse. Il n'apporte pas de nouveaux faits qui justifieraient que l'on revoie la décision précédente. Nous ne répondrons plus aux requêtes qu'il pourrait encore nous soumettre à propos de cet objet.</w:t>
      </w:r>
    </w:p>
    <w:p>
      <w:r>
        <w:rPr>
          <w:b/>
        </w:rPr>
        <w:t>E. 18</w:t>
      </w:r>
    </w:p>
    <w:p>
      <w:r>
        <w:t>H. Sax, Berikon, contre le Tribunal fédéral Auteur d'une dénonciation, le requérant a exigé une sanction pénale contre le responsable d'un cimetière de voitures situé dans sa commune. Le Tribunal fédéral examine le recours contre la suspension de la procédure pénale sous le seul angle du déni formel de justice par les autorités cantonales. Il en arrive à la conclusion que le recours de droit public introduit par le plaignant ne remplit pas les conditions requises pour cette voie de droit, mais il examine en détail d'autres plaintes. Vue par la haute surveillance parlementaire, sa décision n'est pas critiquable.</w:t>
      </w:r>
    </w:p>
    <w:p>
      <w:r>
        <w:rPr>
          <w:b/>
        </w:rPr>
        <w:t>E. 19</w:t>
      </w:r>
    </w:p>
    <w:p>
      <w:r>
        <w:t>H. Tacim, contre le DAR II s'agit de savoir si l'avocat qui a fait parvenir sa procuration un jour avant que ne soit prise la décision en matière d'asile a le droit de considérer que l'envoi a posteriori d'une copie de ladite décision remplace la communication qui aurait dû lui être faite et s'il peut donc calculer le délai du dépôt du recours à partir de la date à laquelle il a reçu cette copie. La Commission de gestion a signifié au Département qu'à son avis un avocat n'est pas responsable des difficultés qu'a l'administration à réagir à temps au courrier qu'elle reçoit.</w:t>
      </w:r>
    </w:p>
    <w:p>
      <w:r>
        <w:rPr>
          <w:b/>
        </w:rPr>
        <w:t>E. 20</w:t>
      </w:r>
    </w:p>
    <w:p>
      <w:r>
        <w:t>W. Tschaggelar, Warb, contre le Conseil fédéral Le requérant se plaint du service de comptabilité sis à Worb de la Caisse maladie et accidents du district de Konolfingen; il fait notamment valoir que l'Office fédéral des assurances sociales n'a pas rempli son devoir de surveillance. On ne saurait critiquer la décision par laquelle le Conseil fédéral a rejeté ces accusations. Le requérant a suffisamment eu l'occasion d'exposer à l'Office ses critiques, tant oralement que par écrit; la plainte pénale qu'il a déposée contre des responsables de la Caisse a abouti à un non-lieu. L'Office n'ayant à examiner les comptes des caisses maladie que du point de vue formel, il est manifeste qu'il a rempli sa tâche et qu'en outre il a suffisamment entendu les considérations du requérant.</w:t>
      </w:r>
    </w:p>
    <w:p>
      <w:r>
        <w:rPr>
          <w:b/>
        </w:rPr>
        <w:t>E. 21</w:t>
      </w:r>
    </w:p>
    <w:p>
      <w:r>
        <w:t>H. +E. Tuezin, Baie, contre le DAR Cette requête est un exemple de la pratique turque de la coresponsabilité familiale que nous avons décrite au chapitre I du Rapport des Commissions de gestion concernant les inspections. 786</w:t>
      </w:r>
    </w:p>
    <w:p>
      <w:r>
        <w:rPr>
          <w:b/>
        </w:rPr>
        <w:t>E. 22</w:t>
      </w:r>
    </w:p>
    <w:p>
      <w:r>
        <w:t>Cahier Numero Geschäftsnummer 90.027 Numéro d'affaire Numero dell'oggetto Datum 05.06.1990 Date Data Seite 721-787 Page Pagina Ref. No 10 106 182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