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90.002 vom 22. Juni 1990</w:t>
      </w:r>
    </w:p>
    <w:p>
      <w:r>
        <w:t>Bundesverwaltung, 1990-06-22, DE</w:t>
      </w:r>
    </w:p>
    <w:p>
      <w:r>
        <w:rPr>
          <w:b/>
        </w:rPr>
        <w:t xml:space="preserve">Quelle: </w:t>
      </w:r>
      <w:r>
        <w:t>https://mcp.opencaselaw.ch/entscheid/ch_vb_90.002</w:t>
      </w:r>
    </w:p>
    <w:p>
      <w:r>
        <w:t>FR: CH_VB 90.002 du 22 juin 1990</w:t>
      </w:r>
    </w:p>
    <w:p>
      <w:r>
        <w:t>IT: CH_VB 90.002 del 22 giugno 1990</w:t>
      </w:r>
    </w:p>
    <w:p>
      <w:pPr>
        <w:pStyle w:val="Heading2"/>
      </w:pPr>
      <w:r>
        <w:t>Erwägungen</w:t>
      </w:r>
    </w:p>
    <w:p>
      <w:r>
        <w:rPr>
          <w:b/>
        </w:rPr>
        <w:t>E. 22</w:t>
      </w:r>
    </w:p>
    <w:p>
      <w:r>
        <w:t>Auslaufund Einstreu für alle Tiere: Die Tierschutzverordnung fordert zeitweilige Bewegungsmög- lichkeiten für Rindvieh in Anbindehaltung (Art. 18 TSchV) und für Sauen, die in Kastenständen oder angebunden gehalten werden (Art. 22 Abs. 2 TSchV). Diese Bewegungsmöglichkeit kann auch im Stall gegeben werden (z. B. Laufstall für Rind- vieh, grosse Boxen für Sauen). In der Praxis wird die Bewe-</w:t>
      </w:r>
    </w:p>
    <w:p>
      <w:r>
        <w:t>Schweizerisches Bundesarchiv, Digitale Amtsdruckschriften Archives fédérales suisses, Publications officielles numérisées Archivio federale svizzero, Pubblicazioni ufficiali digitali Parlamentarische Immunität von Nationalrat Günter. Aufhebung Immunité parlementaire du conseiller national Günter. Levée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90.002 Numéro d'objet Numero dell'oggetto Datum 22.06.1990 - 08:00 Date Data Seite 1234-1241 Page Pagina Ref. No 20 018 716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