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89.811 vom 15. März 1990</w:t>
      </w:r>
    </w:p>
    <w:p>
      <w:r>
        <w:t>Bundesverwaltung, 1990-03-15, DE</w:t>
      </w:r>
    </w:p>
    <w:p>
      <w:r>
        <w:rPr>
          <w:b/>
        </w:rPr>
        <w:t xml:space="preserve">Quelle: </w:t>
      </w:r>
      <w:r>
        <w:t>https://mcp.opencaselaw.ch/entscheid/ch_vb_89.811</w:t>
      </w:r>
    </w:p>
    <w:p>
      <w:r>
        <w:t>FR: CH_VB 89.811 du 15 mars 1990</w:t>
      </w:r>
    </w:p>
    <w:p>
      <w:r>
        <w:t>IT: CH_VB 89.811 del 15 marzo 1990</w:t>
      </w:r>
    </w:p>
    <w:p>
      <w:pPr>
        <w:pStyle w:val="Heading2"/>
      </w:pPr>
      <w:r>
        <w:t>Erwägungen</w:t>
      </w:r>
    </w:p>
    <w:p>
      <w:r>
        <w:rPr>
          <w:b/>
        </w:rPr>
        <w:t>E. 15</w:t>
      </w:r>
    </w:p>
    <w:p>
      <w:r>
        <w:t>mars 1990 führte dazu, dass die ursprüngliche eigentliche Führungsrolle des Bundes in Frage gestellt wird. Meine Frage: Ist der Bund deshalb bereit zu prüfen, ob er sich in Zukunft vielleicht wieder vermehrt finanziell an den Aus- gaben der EL beteiligen sollte, um die Zielsetzung, eine ge- samtschweizerische minimale Existenzgrundlage zu sichern, nicht aufzugeben? 2. Die zweite EL-Revision hat seinerzeit einige markante Ver- besserungen für die älteren Personen in wirtschaftlich schwä- cherer Situation gebracht. Es sind aber bereits Bestrebungen im Gange, in einer kommenden dritten EL-Revision Vor- schläge für eine Systemverbesserung sowie Aenderungen an den einzelnen Regelungen auszuarbeiten. Diese Revision soll mit der 10. AHV-Revision gekoppelt werden. Die 10. AHV-Revi- sion ist aber bekanntlich nicht unumstritten und das Referen- dum nicht ausgeschlossen. Meine Frage: Wäre im Referendumsfall der Bund bereit, die EL-Revision vorzuziehen, damit die über 140000 wirtschaft- lich schwächeren EL-Bezüger möglichst schnell in den Ge- nuss von finanziellen Verbesserungen kommen? 3. Aufgrund der Erfahrungen von Pro Senectute nehmen die Unterstützungsfälle, vor allem was die periodischen Geldlei- stungen betrifft, eindeutig zu. Diese Zunahme dürfte zweifellos auf den erhöhten Bekanntheitsgrad der individuellen Leistun- gen von Pro Senectute sowie vor allem auch auf unrealistische Abzüge im Rahmen der Mietzinse und auf die Selbstbehalte, zum Beispiel bei den Mietzinsen, zurückzuführen sein. Dazu kommt, dass die Gesetzgebung immer hinter den realen Ge- gebenheiten zurückliegt, wie dies eingangs erwähnt wurde. Dies trifft die finanziell schwächeren Betagten besonders hart. Die Frage dazu: Ist der Bund deshalb bereit, die bestehenden Selbstbehalte aufzuheben und höhere, der Praxis entspre- chende Mietzinsabzüge -verbunden mit dem Bruttomietzins- prinzip, das heisst keine Aufteilung in Nettomietzins und Ne- benkosten - einzuführen? Allgemein möchte ich bemerken, dass es dringend notwendig ist, eine Revision der gesetzlichen Bestimmungen über die EL an die Hand zu nehmen. Von den rund 140 000 bis 170 000 deutlich unter dem Existenzminimum lebenden Schweizern sind rund 25 Prozent Rentner, wovon etwa ein Drittel Frauen. Die EL soll wirklich nur jenen zugute kommen, die sozialpoli- tisch darauf angewiesen sind. Auf keinen Fall wird an ein Giesskannenprinzip gedacht. Die Latte liegt hoch; sie wird den Lebensverhältnissen vieler betagter Menschen nicht gerecht. Besonders die krasse Situa- tion auf dem Mietwohnungsmarkt sollte stärker gewichtet wer- den usw. Es darf vermutet werden, dass der Vorsteher des EDI und der Bundesrat diese Probleme längst erkannt haben. Aufgrund der Erfahrung darf ich annehmen, dass es auch nicht am gu- ten Willen fehlt und dass im Zusammenhang mit einer bevor- stehenden Revision der EL-Gesetzgebung diesen anvisierten Punkten die volle Aufmerksamkeit geschenkt wird. Nicht nur ich, sondern vor allem die EL-Bezüger würden aufatmen, wenn wir auf diese Interpellation eine gute, vielversprechende Antwort erhalten würden. Bundesrat Cotti: Der Interpellant konzentriert sich in seinem Vorstoss auf die Ergänzungsleistungen, die zu einem wesent- lichen Bestandteil unserer Sozialversicherung geworden sind; darin gehe ich absolut mit ihm einig. Sie gewährleisten eine einheitliche Deckung eines angemessenen Existenzbedarfes für AHV- und IV-Rentner in der ganzen Schweiz. Damit erfüllen sie einen sehr wichtigen Verfassungsauftrag. In den letzten Jahren haben die EL-Kosten eine starke Erhö- hung erfahren. Es bedeutet dies unter anderem, dass sich der Bezug der EL in unserem Land nunmehr eingebürgert hat. Die erste Frage bezieht sich auf den Verteiler der EL-Kosten zwischen Bund und Kantonen. Sie wissen, Herr Zumbühl, dass dieser Verteiler das letzte Mal im Rahmen der Aufgaben- teilung Bund/Kantone überprüft worden ist, wobei das Schwergewicht in Richtung der Kantone gegangen ist, wäh- rend sich das Hauptgewicht der Kosten der ersten Säule beim Bund noch verstärkt hat. An diesem Verteiler zwischen Bund und Kantonen gedenkt der Bundesrat vorderhand nichts zu ändern. Bezüglich dieses Verteilers werden Sie aber sehr bald - der Bundesrat hat die Botschaft zur 10. AHV-Revision verab- schiedet, sie wird morgen präsentiert - feststellen, dass zu- sätzliche Kosten dem Bund übertragen werden, die zum Teil gerade jene schwächeren Bezüger betreffen, die Sie selber er- wähnt haben, und zwar wiederum nicht nach dem Giesskan- nensystem. Das darf für Sie eine Zusicherung von Bedeutung sein. Bei der zweiten Frage muss festgehalten werden, dass die Er- gänzungsleistungen das Einkommen der betroffenen Rentner so anheben, dass der Existenzbedarf dadurch gedeckt wird oder mindestens akute Notlagen behoben werden können. Nachdem dank der Revision, auf die Sie sich bezogen haben, der Selbstbehalt bei der Vergütung von Krankheitskosten wegfällt, braucht sich der Ergänzungsleistungsbezüger we- gen Arzt-, Zahnarzt- oder Spitalrechnungen in der Regel keine Sorgen mehr zu machen. Die Ergänzungsleistungen vergüten in den meisten Fällen die verbleibenden Kosten. Für die zirka 40 000 EL-Bezüger, die in Heimen leben, ist die Finanzierung des Heimaufenthaltes in der Regel ebenfalls gesichert. Finanzielle Probleme können für EL-Bezüger mit hohen Miet- zinsen oder hohen Riegekosten entstehen. Wir werden diese Fragen - wie Sie angetönt haben - bei der nächsten Gesetzes- revision prüfen, wobei diese Revision nicht mit der längst fälli- gen 10. AHV-Revision gekoppelt sein wird. Es muss auch eine gewisse zeitliche Staffelung stattfinden. Zur dritten Frage: Anlässlich der schon erwähnten nächsten EL-Gesetzesrevision wird auch die Neuregelung des von Ih- nen erwähnten Mietzinsabzuges zu prüfen sein. Es wird eine administrativ leicht zu handhabende und verständliche Form gefunden werden müssen, damit auch sozial ein weiterer Schritt nach vorne getan werden kann. Ich denke an die Fra- gen des Mietzins-Selbstbehaltes und der Mietzins-Nebenko- stenvergütung. Zumbühl: Ich danke Herrn Bundesrat Cotti für die Beantwor- tung meiner Interpellation. Wenn auch in der Antwort des Bun- desrates keine oder nur wenige konkrete Zugeständnisse ent- halten sind, so habe ich doch herausgespürt, dass der Bun- desrat diesen Anliegen gegenüber wohlgesinnt ist. Ich darf an- nehmen, dass sie' in die bevorstehende Revision der EL- Gesetzgebung genügend Eingang finden. In diesem Sinne bin ich von der Antwort weitgehend befriedigt. #ST# 89.695 Postulat Jelmini Therapeutische Transplantationen Trapianti terapeutici Transplantations thérapeutiques Wortlaut des Postulates vom 6. Oktober 1909 Dank des Fortschritts in der Medizin nehmen Organtransplan- tationen zu therapeutischen Zwecken einen immer wichtige- ren Platz ein und bieten vielen Kranken grosse Ueberlebens- chancen. Die vielfachen und komplexen Probleme humanitärer, techni- scher und rechtlicher Natur, die ein Transplantationsentscheid und seine Durchführung aufwerfen, haben verschiedene Staa- ten veranlasst, Vorschriften zu erlassen in der Absicht, einer- seits im Rahmen der Solidarität Transplantationen zu fördern, anderseits unerwünschte Nachteile zu vermeiden. Auf euro- päischer Ebene empfiehlt es sich, die nationalen Gesetzge- bungen zu harmonisieren. Auch wenn man berücksichtigt, dass die Probleme im Ge- sundheitswesen zum grössten Teil in die Kompetenz der Kan- tone fallen, sollte man doch die Gelegenheit, einer wün- schenswerten Regelung in unserem Land eine einheitliche</w:t>
      </w:r>
    </w:p>
    <w:p>
      <w:r>
        <w:t>Schweizerisches Bundesarchiv, Digitale Amtsdruckschriften Archives fédérales suisses, Publications officielles numérisées Archivio federale svizzero, Pubblicazioni ufficiali digitali Interpellation Zumbühl Alterspolitik Interpellation Zumbühl Politique du troisième âge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08 Séance Seduta Geschäftsnummer 89.811 Numéro d'objet Numero dell'oggetto Datum 15.03.1990 - 08:00 Date Data Seite 185-186 Page Pagina Ref. No</w:t>
      </w:r>
    </w:p>
    <w:p>
      <w:r>
        <w:rPr>
          <w:b/>
        </w:rPr>
        <w:t>E. 20</w:t>
      </w:r>
    </w:p>
    <w:p>
      <w:r>
        <w:t>018 597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