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89.795 vom 14. Dezember 1990</w:t>
      </w:r>
    </w:p>
    <w:p>
      <w:r>
        <w:t>Bundesverwaltung, 1990-12-14, DE</w:t>
      </w:r>
    </w:p>
    <w:p>
      <w:r>
        <w:rPr>
          <w:b/>
        </w:rPr>
        <w:t xml:space="preserve">Quelle: </w:t>
      </w:r>
      <w:r>
        <w:t>https://mcp.opencaselaw.ch/entscheid/ch_vb_89.795</w:t>
      </w:r>
    </w:p>
    <w:p>
      <w:r>
        <w:t>FR: CH_VB 89.795 du 14 décembre 1990</w:t>
      </w:r>
    </w:p>
    <w:p>
      <w:r>
        <w:t>IT: CH_VB 89.795 del 14 dicembre 1990</w:t>
      </w:r>
    </w:p>
    <w:p>
      <w:pPr>
        <w:pStyle w:val="Heading2"/>
      </w:pPr>
      <w:r>
        <w:t>Erwägungen</w:t>
      </w:r>
    </w:p>
    <w:p>
      <w:r>
        <w:rPr>
          <w:b/>
        </w:rPr>
        <w:t>E. 14</w:t>
      </w:r>
    </w:p>
    <w:p>
      <w:r>
        <w:t>décembre 1990 Schriftliche Stellungnahme des Bundesrates vom 24. September 1990 Rapport écrit du Conseil fédéral du 24 septembre 1990 Der Bundesrat hat mit der Verordnung vom 5. März 1990 über die Behandlung von Staatsschutzakten des Bundes (AS 1990 386) seine Auffassung zu den Fragen der Interpellation klar zum Ausdruck gebracht. Dieser Auffassung ist in mehreren Kantonen und Städten Opposition erwachsen. Am 18. Juni 1990 hat der Kanton Genf beim Bundesgericht eine staats- rechtliche Klage eingereicht, mit der die Zuständigkeit des Bundesrates zum Erlass der Verordnung bestritten wird, und insbesondere auch das Recht des Bundes bestritten wird, von kantonalen Polizisten erstellte Akten als Staatsschutzakten des Bundes zu bezeichnen. Bis zur verbindlichen Feststellung des Bundesgerichts erachtet der Bundesrat es als notwendig, an der vorher geübten jahrzehntelangen Praxis festzuhalten, die nachstehend erläutert wird : 1. Bei den Informationen, die von kantonalen und kommuna- len Staatsschutzorganen aufbewahrt werden, richtet sich das Verfügungsrecht danach, ob sie ausschliesslich intern ge- braucht wurden oder auch von der Bundesanwaltschaft bear- beitet worden sind. Im letztern Fall sind sie als Staatsschutzak- ten des Bundes zu betrachten und unterstehen dem Verfü- gungsrecht des Bundes. 2. Die Würdigung, bezüglich welcher Informationen noch ein aktuelles Geheimhaltungsinteresse besteht bzw. wie die Inter- essen Dritter zu werten sind, ist so schwierig, dass sie unbe- dingt einheitlich vorgenommen werden muss. Damit dies ob- jektiv erfolgt, hat der Bundesrat einen unabhängigen Sonder- beauftragten für die Behandlung der Staatsschutzakten einge- setzt. 3. Soweit Kantone oder Städte das Verfügungsrecht haben, befürwortet der Bundesrat ein Einsichtsrecht, das der Praxis des Bundesgerichts entspricht: Es muss eine Güterabwägung zwischen dem Einsichtsinteresse der Betroffenen und dem Geheimhaltungsinteresse des Staates und mitbeteiligter Drit- tervorgenommen werden. 4. Die Archivierung von Staatsschutzakten des Bundes ist, so- weit der Bundesrat nicht deren Vernichtung angeordnet hat, im Reglement für das Bundesarchiv geregelt (SR 432.11). Das Datenschutzgesetz hat auf eine Spezialregelung der Archivie- rung von Daten verzichtet. Für die bei den Kantonen aufbe- wahrten Staatsschutzakten des Bundes gilt grundsätzlich das Archivrecht des Bundes: Die Akten sind einmal, nämlich beim Bundesarchiv, zu archivieren; die Doppel bei anderen Stellen des Bundes oder der Kantone sind zu vernichten, sobald sie nicht mehr benötigt werden. Damit wird auch ein einheitlicher Standard des Datenschutzes garantiert. Präsident: Der Interpellant ist von der Antwort des Bundesra- tes teilweise befriedigt. #ST# 90.545 Interpellation Friderici Verordnung über Abgasemissionen und Energiesparen Nouvelles prescriptions OEV1 et économies d'énergie Wortlaut der Interpellation vom 11. Juni 1990 Auf den 1. Oktober 1990 wird die Verordnung über die Ab- gasemissionen leichter Motorwagen (FAV1) geändert. Die neuen Vorschriften betreffen die Fahrzeuge mit einem Ge- samtgewicht von 3500 kg oder weniger, einschliesslich Busse zum Personentransport, Kastenwagen und Lieferwagen mit Dieselmotor. Aufgrund der Fortschritte der Forschung im Bereich der Selbstzündungsmotoren (Diesel) mit kleinem Hubvolumen ist damit zu rechnen, dass ir naher Zukunft Dieselmotoren ge- baut werden, die den neue n Normen entsprechen. Da jedoch die Serienfabrikation noch nicht begonnen hat, wird kein Im- porteur in der Lage sein, auf den 1. Oktober 1990 Fahrzeuge mit solchen Dieselmotoren zu liefern. Dieselmotoren verbrau- chen aber 40 bis 60 Prozent weniger Treibstoff als Fahrzeuge der gleichen Kategorie mit Benzinmotoren. Ist der Bundesrat bereit, die Einführung der neuen Bestim- mungen der Verordnung über die Abgasemissionen leichter Motorwagen (FAV1) bis zum Zeitpunkt hinauszuschieben, zu dem mit der Serienproduktion der neuen Generation dieses Motortyps begonnen werden kann? Texte de l'interpellation du •' 1 juin 1990 Dès le 1er octobre 1990,1 Ordonnance sur les émissions de gaz d'échappement des voitures automobiles légères (OEV 1 ) sera modifiée. Ces nouvelles prescriptions concerneront les véhicules d'un poids total de 3500 kg ou moins, y compris les bus pour transport de personnes, les fourgons et les camion- nettes de livraison à moteur diesel. L'avancement de la recherohe sur les moteurs à allumage par compression (diesel) de petite cylindrée permet d'envisager dans un proche avenir la fabrication d'engins répondant aux nouvelles normes. Toutefois, la production en série n'ayant pas encore débuté, aucun importateur ne sera en mesure de fournir des véhicules à moleur diesel dès le 1 er octobre 1990. Or ceux-ci consomment entre 40 et 60 pour cent de carburant en moins, par rapport à des véhicules de même catégorie mus par des moteurs à essence. Le Conseil fédéral serait-il prêt à ajourner l'introduction de ces nouvelles prescriptions, dans l'Ordonnance sur les émissions de gaz d'échappement des voitures automobiles légères (OEV 1), jusqu'à une date prochaine où débuterait la produc- tion en série de la nouvelle génération de ce type de moteurs? Mitunterzeichner - Cosignataires: Antille, Aubry, Berger, Burckhardt, Cavadini, Coutau, Dreher, Dubois, Ducret, Eggly, Etique, Frey Claude, Frey Walter, Gros, Jeanneret, Leuba, Loeb, Luder, Massy, Père/, Philipona, Rohrbasser, Savary- Vaud, Scherrer, Schwab, Slucky (26) Schriftliche Begründung-Développement par écrit En Europe, l'évolution technique des moteurs diesel de faible cylindrée a favorisé le recours à cette motorisation pour les voi- tures automobiles légères (3500 kg de poids total en charge ou moins). En Suisse toutefois, le prix élevé du carburant die- sel n'a pas permis de coripenser l'investissement de base plus élevé et l'évolution n'a pas été aussi spectaculaire. Dès que le poids total en charge d'un véhicule excède 2000 kg, la consommation d'essence augmente très forte- ment pour les moteurs à allumage commandé (essence), alors que les moteurs à allumage par compression (diesel) n'enregistrent pas la même progression de la consommation. Il devient alors avantageux, pour le propriétaire d'un tel véhi- cule et pour l'environnement, de recourir à un moteur diesel dès que l'usage le justifie. La consommation plus faible, la robustesse et la longévité sont les trois atouts principaux du moteur diesel de petite cylindrée, aussi bien pour le transport de petits groupes de personnes que pour la distribution fine sur de courtes distances. L'écono- mie de carburant entre un moteur à allumage par compres- sion (diesel) et un moteur à allumage commandé (essence) est de l'ordre de 40 à 60 pour cent. Or, l'introduction des nouvelles prescriptions sur les gaz d'échappement des voitures automobiles légères à moteur diesel condamnerait les importateurs de ce genre de véhicu- les à n'offrir, pour une période encore indéterminée, que des moteurs fonctionnant à l'e:;sence, dont plus gourmands en énergie. Les bilans énergétique et écologique seraient défavorables. Il conviendrait donc de différer, pour une courte période, l'intro- duction des nouvelles prescriptions dans l'ordonnance sur les</w:t>
      </w:r>
    </w:p>
    <w:p>
      <w:r>
        <w:t>Schweizerisches Bundesarchiv, Digitale Amtsdruckschriften Archives fédérales suisses, Publications officielles numérisées Archivio federale svizzero, Pubblicazioni ufficiali digitali Interpellation Jaeger Kantonale Staatsschutzakten. Verfügungsrecht Interpellation Jaeger Dossiers cantonaux sur la sécurité de l'Etat. Droit de disposition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89.795 Numéro d'objet Numero dell'oggetto Datum 14.12.1990 - 08:00 Date Data Seite 2455-2456 Page Pagina Ref. No</w:t>
      </w:r>
    </w:p>
    <w:p>
      <w:r>
        <w:rPr>
          <w:b/>
        </w:rPr>
        <w:t>E. 20</w:t>
      </w:r>
    </w:p>
    <w:p>
      <w:r>
        <w:t>019 373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