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89.759 vom 23. März 1990</w:t>
      </w:r>
    </w:p>
    <w:p>
      <w:r>
        <w:t>Bundesverwaltung, 1990-03-23, DE</w:t>
      </w:r>
    </w:p>
    <w:p>
      <w:r>
        <w:rPr>
          <w:b/>
        </w:rPr>
        <w:t xml:space="preserve">Quelle: </w:t>
      </w:r>
      <w:r>
        <w:t>https://mcp.opencaselaw.ch/entscheid/ch_vb_89.759</w:t>
      </w:r>
    </w:p>
    <w:p>
      <w:r>
        <w:t>FR: CH_VB 89.759 du 23 mars 1990</w:t>
      </w:r>
    </w:p>
    <w:p>
      <w:r>
        <w:t>IT: CH_VB 89.759 del 23 marzo 1990</w:t>
      </w:r>
    </w:p>
    <w:p>
      <w:pPr>
        <w:pStyle w:val="Heading2"/>
      </w:pPr>
      <w:r>
        <w:t>Erwägungen</w:t>
      </w:r>
    </w:p>
    <w:p>
      <w:r>
        <w:rPr>
          <w:b/>
        </w:rPr>
        <w:t>E. 23</w:t>
      </w:r>
    </w:p>
    <w:p>
      <w:r>
        <w:t>März 1990 N 735 Interpellation Scherrer Dieser Huckepackkorridor soll als Uebergangslösung provi- sorisch die Bedürfnisse der rollenden Landstrasse befriedi- gen, bis mit der Fertigstellung des Lötschberg-Basistunnels das erforderliche Lichtraumprofil zur Verfügung steht. Die Uebergangslösung am Lötschberg lässt sich nicht betriebs- wirtschaftlich, sondern nur politisch begründen, als Antwort auf den von der EG geforderten Strassenkorridor für 40 Ton- nen schwere Lastwagen. Deshalb binden wir die Uebergangs- lösung am Lötschberg nach wie vor an ein positives Verhand- lungsergebnis mit der EG. Die Investitionen werden nur getä- tigt, wenn die EG die Forderung nach einem 40-Tonnen-Stras- senkorridor endgültig fallenlässt. 3. Nach dem Wortlaut der Verordnung über die Förderung des kombinierten Verkehrs und des Transportes begleiteter Motor- fahrzeuge können schweizerischen Gesuchstellern auch Bei- träge an den Bau von Umschlagsanlagen im Ausland gewährt werden, soweit dies im Verkehrs- und umweltpolitischen Inter- esse der Schweiz liegt. Mit dem Bau von grenzfernen Terminals soll der Verkehr mög- lichst an der Quelle erfasst werden. Wenn Container und Wechselbehälter mit dem Lastwagen bis zu unserer Landes- grenze kommen, wird kaum mehr umgeladen. Die Termi AG (Tochtergesellschaft der Hupac AG) klärt zurzeit geeignete Standorte ab. In Anbetracht unserer ohnehin grossen Investi- tion von rund 1,5 Milliarden Franken für die Ausweitung des Huckepackangebotes in den nächsten vier Jahren stellt sich indessen die Frage, ob es angebracht ist, dass sich der Bund beim Bau von grenzfernen Terminals auch noch finanziell en- gagiert. 4. Die Schweizer Bahnen haben 1988 im kombinierten Ver- kehr (Grosscontainer und Huckepack) rund 428 000 Sendun- gen transportiert, davon 269 000 Einheiten im Transitverkehr. Wieweit der kombinierte Verkehr unsere Strassen vom Lastwa- genverkehr entlastet, lässt sich nicht eindeutig beziffern. Der kombinierte Verkehr ist aber eine notwendige Massnahme zur Vermeidung eines übermässigen Schwerverkehrs auf der Strasse. Das Angebot eines leistungsfähigen Huckepackver- kehrs soll ferner die Oeffnung unserer Transitstrassen für 40 Tonnen schwere Lastwagen verhindern. Le président: L'interpellateur est satisfait de la réponse du Conseil fédéral. #ST# 89.755 Interpellation Scherrer Ausbau Grauholz-Autobahn Aménagement de l'autoroute du Grauholz Wortlaut der Interpellation vom 11. Dezember 1989 Gemäss früheren Auskünften von Bundesrat und Berner Re- gierung hätte mit dem Ausbau der Grauholz-Autobahn auf 6 Spuren im Herbst 1989 begonnen werden sollen. Bis zum heutigen Tag, das heisst dem 11. Dezember 1989, ist jedoch mit den Bauarbeiten nicht begonnen worden. Vielmehr soll die UVP ergeben haben, dass bei 6 Spuren im Falle von Staus der Ausstoss von Kohlenmonoxid und Kohlenwasserstoffen stei- gen werde. Ich frage den Bundesrat: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