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89.592 vom 15. Dezember 1989</w:t>
      </w:r>
    </w:p>
    <w:p>
      <w:r>
        <w:t>Bundesverwaltung, 1989-12-15, DE</w:t>
      </w:r>
    </w:p>
    <w:p>
      <w:r>
        <w:rPr>
          <w:b/>
        </w:rPr>
        <w:t xml:space="preserve">Quelle: </w:t>
      </w:r>
      <w:r>
        <w:t>https://mcp.opencaselaw.ch/entscheid/ch_vb_89.592</w:t>
      </w:r>
    </w:p>
    <w:p>
      <w:r>
        <w:t>FR: CH_VB 89.592 du 15 décembre 1989</w:t>
      </w:r>
    </w:p>
    <w:p>
      <w:r>
        <w:t>IT: CH_VB 89.592 del 15 dicembre 1989</w:t>
      </w:r>
    </w:p>
    <w:p>
      <w:pPr>
        <w:pStyle w:val="Heading2"/>
      </w:pPr>
      <w:r>
        <w:t>Erwägungen</w:t>
      </w:r>
    </w:p>
    <w:p>
      <w:r>
        <w:rPr>
          <w:b/>
        </w:rPr>
        <w:t>E. 15</w:t>
      </w:r>
    </w:p>
    <w:p>
      <w:r>
        <w:t>Dezember 1989 N 2231 Motion Matthey nen und anderseits weil sie als unredliche Mittel die Leistun- gen verfälschen. Die Durchsetzung des Dopingverbots im In- land möchte er - entsprechend dem schweizerischen Sport- konzept-den Sportverbänden überlassen, die bereits jetzt mit Hilfe von Kontrollen und Sanktionen gegen Dopingfällevorge- hen. In den letzten Jahren machte die Zahl der positiven Do- pingfälle in der Schweiz 0,8 bis 1 Prozent von den jeweils rund tausend durchgeführten Proben pro Jahr aus (internationaler Durchschnitt zwischen 2 und 2,5 Prozent). Eine vom Schwei- zerischen Landesverband für Sport (SLS) einberufene inter- disziplinär zusammengesetzte Projektgruppe hat ein Mass- nahmenkonzept ausgearbeitet, das als Grundlage für neue Verfahrensrichtlinien und Réglemente dient. Das Konzept überträgt die Durchführung von Kontrollen und Sanktionen den Sportverbänden. Sanktionen für Zuwiderhandlungen ge- gen die Dopingnormen des Vereins- und Verbandsrechts wer- den im wesentlichen durch das interne Disziplinarsystem der Vereine und Verbände, insbesondere der internationalen Ver- bände ausgesprochen und durchgesetzt. Sanktionen sollen korrekt und nach rechtsstaatlichen Grundsätzen durchgeführt werden. Schliesslich bemüht sich der SLS um eine Harmoni- sierung der Bekämpfungsmassnahmen sowohl im Inland wie auf internationaler Ebene. 2. Während des Trainings sind unerwartete Dopingkontrollen nötig. Ihre Einführung wird vom SLS und den Verbänden vor- bereitet. Im Frühjahr 1990 kann voraussichtlich mit der Einfüh- rung derartiger Ueberraschungskontrollen für Eliteathleten gerechnet werden. Diese Kontrollen fallen ausschliesslich in die Kompetenz des SLS, wobei die betroffenen Athleten unter notarieller Aufsicht ausgelost werden sollen. Zudem plant der SLS die Einsetzung einer mobilen Equipe, die stichproben- weise die Kontrollen der Verbände an Wettkämpfen überprüft. Für die Verbandskontrolleure ist eine zentrale Aus- und Weiter- bildung durch den SLS vorgesehen. 3. Das schweizerische Sportkonzept ruht auf einem öffent- lich-rechtlichen und einem privatrechtlichen Pfeiler. Der öffent- lich-rechtliche Bereich ist im Bundesgesetz vom 17. März 1972 über Turnen und Sport (SR 415.0) geregelt. Für den pri- vatrechtlichen Bereich (Verbandsrecht inkl. Hochleistungs- sport) ist der SLS verantwortlich. Die Schaffung der in der Mo- tion geforderten rechtlichen Grundlage zur Durchsetzung ei- nes Dopingverbots in der Schweiz würde diesen privatrecht- lichen Bereich stark einengen. Die Anstrengungen der Ver- bände im Diszi pli narbereich, die Begrenzung der erheblichen Sachverhalte auf einen relativ engen Lebensbereich mit be- sonderen Zielen und Wertvorstellungen, die Abhängigkeit des sanktionierten Verhaltens von einer nicht staatlichen Regel- umschreibung sowie die im Hinblick auf den legalen Ge- brauch solcher Substanzen in der Medizin schwer lösbaren Abgrenzungsprobleme sprechen aber derzeit gegen eine Er- gänzung des Strafgesetzbuches mit entsprechenden Straf- normen oder die Einführung entsprechender Verwaltungs- strafrechtsnormen. Ein solcher Eingriff wäre nur dann gerecht- fertigt, wenn sich der privatrechtlich organisierte Sport nicht selber zu regulieren vermöchte. 4. Der Europarat hat eine Konvention zur Bekämpfung des Do- pingmissbrauchs im Sport ausgearbeitet. Sie liegt seit dem</w:t>
      </w:r>
    </w:p>
    <w:p>
      <w:r>
        <w:rPr>
          <w:b/>
        </w:rPr>
        <w:t>E. 16</w:t>
      </w:r>
    </w:p>
    <w:p>
      <w:r>
        <w:t>November 1989 zur Unterzeichnung auf. Die Konvention sieht unter anderem Massnahmen zur Einschränkung der Ver- fügbarkeit (Verkehr, Besitz, Einfuhr, Vertrieb und Verkauf) von Dopingmitteln vor. Gegenwärtig wird abgeklärt, welche Kon- sequenzen die Ratifikation dieser Konvention für die Schweiz haben würde. Dabei stellt sich unter anderem die Frage der Einfuhrkontrolle und ob sich eine Einfuhrbeschränkung von Dopingmitteln, soweit es sich um Medikamente handelt, im Rahmen eines Bundesgesetzes über die Einfuhrkontrolle von Heilmitteln verwirklichen Hesse. Immer wieder fordern ver- schiedenste Kreise eine Einfuhr- und Ausfuhrkontrolle für Me- dikamente. Die Heilmittelkontrolle, als Sache der Kantone, wird gegenwärtig geprüft. 5. Das Bundesamt für Gesundheitswesen (BAG), die Eidge- nössische Sportschule Magglingen (ESSM) und die Interkan- tonale Kontrollstelle für Heilmittel (IKS) erstellen gegenwärtig eine Liste der Dopingsubstanzen enthaltenden Medikamente. Diese soll nach der Fertigstellung in der Fachpresse veröffent- licht werden und dazu beitragen, dass Aerzte und Apotheker keine Dopingsubstanzen enthaltenden Medikamente irrtümli- cherweise an Sportler abgeben. Schrittliche Erklärung des Bundesrates Déclaration écrite du Conseil fédéral Der Bundesrat beantragt, die Motion in ein Postulat umzuwan- deln. Le président: Cette motion transformée en postulat est com- battue par M. Humbel. La discussion interviendra ultérieure- ment. Verschoben - Renvoyé #ST# 89.599 Motion Matthey BVG - Institutionen und Risikokapital Participation des institutions de prévoyance professionnelle à la formation du capital-risque Wortlaut der Motion vom 20. September 1989 Der Bundesrat wird ersucht, die erforderlichen Massnahmen zu ergreifen oder vorzuschlagen, damit sich die Einrichtungen der beruflichen Vorsorge an der Risikokapitalbildung beteili- gen. Diese Einrichtungen sollten einen Teil ihres Vermögens (zum Beispiel zwei bis drei Promille) in bestehende oder noch zu gründende Gesellschaften für Risikokapitalfinanzierung anlegen, die in Industrieunternehmen mit Sitz und Haupttätig- keit in der Schweiz investieren. Texte de la motion du 20 septembre 1989 Le Conseil fédéral est prié de prendre ou de proposer les me- sures nécessaires pour faire participer les institutions de prévoyance professionnelle à la formation de capital-risque par le placement d'une part de leur fortune (deux à trois pour mille par exemple) dans des sociétés de capital-risque exis- tantes ou à créer et investissant dans des sociétés industrielles dont le siège et l'activité principale sont en Suisse. Mitunterzeichner- Cosignataires: Aguet, Ammann, Béguelin, Bodenmann, Borei, Braunschweig, Carobbio, Danuser, Eg- genberg-Thun, Euler, Hubacher, Jeanprètre, Lanz, Lederger- ber, Longet, Ott, Reimann Fritz, Ruffy, Stappung, Uchtenha- gen, Ulrich, Züger (22) Schrittliche Begründung - Développement par écrit Selon la loi fédérale sur la prévoyance professionnelle vieil- lesse, survivants et invalidité (art. 71 ) et l'OPP 2 (art. 50 et ss), le placement de la fortune des institutions de prévoyance doit sa- tisfaire en priorité aux exigences de la sécurité. Ces restrictions limitent ainsi la participation de ces institutions au capital-ris- que dont ont besoin l'industrie et les nouvelles entreprises de notre pays pour assurer leur innovation, leur création et leur développement. Etant donné que c'est en bonne partie sur la capacité d'inno- ver et de se développer en matière de technologies et de tech- niques nouvelles que dépendent l'avenir économique et le ni- veau de l'emploi de notre pays, il est souhaitable que les insti- tutions du 2e pilier, par l'épargne qu'elles accumulent, partici- pent au risque de financement de l'innovation. Schriftliche Stellungnahme des Bundesrates vom 8. November 1989 Rapport écrit du Conseil fédéral du 8 novembre 1989</w:t>
      </w:r>
    </w:p>
    <w:p>
      <w:r>
        <w:t>Schweizerisches Bundesarchiv, Digitale Amtsdruckschriften Archives fédérales suisses, Publications officielles numérisées Archivio federale svizzero, Pubblicazioni ufficiali digitali Motion Büttiker Dopingverbot Motion Büttiker Interdiction du dopage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89.592 Numéro d'objet Numero dell'oggetto Datum 15.12.1989 - 08:00 Date Data Seite 2230-2231 Page Pagina Ref. No</w:t>
      </w:r>
    </w:p>
    <w:p>
      <w:r>
        <w:rPr>
          <w:b/>
        </w:rPr>
        <w:t>E. 20</w:t>
      </w:r>
    </w:p>
    <w:p>
      <w:r>
        <w:t>018 090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