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89.568 vom 6. Oktober 1989</w:t>
      </w:r>
    </w:p>
    <w:p>
      <w:r>
        <w:t>Bundesverwaltung, 1989-10-06, DE</w:t>
      </w:r>
    </w:p>
    <w:p>
      <w:r>
        <w:rPr>
          <w:b/>
        </w:rPr>
        <w:t xml:space="preserve">Quelle: </w:t>
      </w:r>
      <w:r>
        <w:t>https://mcp.opencaselaw.ch/entscheid/ch_vb_89.568</w:t>
      </w:r>
    </w:p>
    <w:p>
      <w:r>
        <w:t>FR: CH_VB 89.568 du 6 octobre 1989</w:t>
      </w:r>
    </w:p>
    <w:p>
      <w:r>
        <w:t>IT: CH_VB 89.568 del 6 ottobre 1989</w:t>
      </w:r>
    </w:p>
    <w:p>
      <w:pPr>
        <w:pStyle w:val="Heading2"/>
      </w:pPr>
      <w:r>
        <w:t>Erwägungen</w:t>
      </w:r>
    </w:p>
    <w:p>
      <w:r>
        <w:rPr>
          <w:b/>
        </w:rPr>
        <w:t>E. 6</w:t>
      </w:r>
    </w:p>
    <w:p>
      <w:r>
        <w:t>Oktober 1989 N 1779 Interpellation Braunschweig Mitunterzeichner- Cosignataires: Bürgi, Büttiker, Frey Walter, Hildbrand, Keller, Mühlemann, Nussbaumer, Oehler, Port- mann, Reimann Maximilian, Rüttimann, Sager, Scheidegger, Schmidhalter, Wanner, Widrig . (16) Schriftliche Begründung - Développement par écrit Der Urheber verzichtet auf eine Begründung und wünscht eine schriftliche Antwort. Schriftliche Stellungnahme des Bundesrates vom 6. September 1989 Rapport écrit du Conseil fédéral du 6 septembre 1989 1. Der Bundesrat ist sich bewusst, dass sein Beschluss vom 19. Juni 1989, über die neuen Lokalradiogesuche erst nach der Behandlung des Radio- und Fernsehgesetzes (RTVG) im Nationalrat zu befinden, für viele Gesuchsteller eine Belastung darstellt. Mit der Verschiebung trägt der Bundesrat einem Ent- scheid der nationalrätlichen Kommission Rechnung, der für die Zulassung neuer Lokalradios eine grundlegend neue Si- tuation geschaffen hat. So ist die Kommission des National- rates bei der Frage der nationalen Verbreitung der ersten SRG-Radioprogramme (Art. 28 RTVG) unerwarteterweise von der Linie des Bundesrates abgewichen und hat die Prioritäten bei der Verwendung der leider nur beschränkt verfügbaren Frequenzen zum Nachteil der Lokalradios umgekehrt. Da- durch wird die vom Bundesrat vorgeschlagene und bisher un- bestrittene Zulassung privater, SRG-unabhängiger Veranstal- ter auf der lokalen Ebene in Frage gestellt. Wegen der Gefahr der Präjudizierung kann der Bundesrat über die Zulassung neuer Lokalradios erst entscheiden, wenn der Nationalrat in diesem zentralen Punkt Klarheit geschaffen hat. Was die Erhöhung der Fernseh-Werbezeit betrifft, so geht der Interpellant davon aus, dass auf dem Werbemarkt ein Konkur- renzverhältnis zwischen der SRG und den Lokalradios be- steht. In welchem Ausmass dies zutrifft, ist schwierig zu beur- teilen. Für den Bundesrat war der Nachfrageüberhang bei der Fernsehwerbung entscheidend. Die beschränkten Werbe- möglichkeiten am Schweizer Fernsehen stellten die Wirtschaft bisher vor Probleme. Andere Werbeträger bzw. Medien eignen sich nur beschränkt als Ersatz, so dass Werbegelder zu inter- nationalen Fernsehveranstaltern abwandern. Der Bundesrat ist zudem mit seinem Entscheid auch den Lokalradios entge- gengekommen. Nebst der Erhöhung der durchschnittlichen täglichen Werbezeit von 20 auf 26 Minuten dürfte sich auch die erhöhte Flexiblilität betreffend saisonaler Kompensation vor- teilhaft auswirken. Im übrigen ist darauf hinzuweisen, dass sich die Lokalradios im vergangenen Jahr insgesamt wirt- schaftlich erfreulich entwickelt haben. 2. Ein verbindlicher Termin kann zum gegenwärtigen Zeit- punkt nicht genannt werden, da die weiteren Verfahrens- schritte vom Nationalrat abhängen. Nachdem das Radio- und Fernsehgesetz in der Junisession nicht behandelt wurde, hofft der Bundesrat, dass sich die Grosse Kammer im Herbst damit befassen wird. Das antragstellende Eidgenössische Verkehrs- und Energiewirtschaftsdepartement hat bereits weitgehende Vorarbeiten geleistet, so dass die Voraussetzungen für einen baldigen Entscheid des Bundesrates gegeben sind. 3. Der Bundesrat misst der Funktion und der Stellung der Lo- kalradios im schweizerischen Mediensystem grosse Bedeu- tung bei. Er hält nach wie vor am Ebenenmodell fest, das den privaten Veranstaltern auf der lokal/regionalen Ebene im Rah- men der verfügbaren Frequenzen den freien Zugang ermög- licht. Die Kommission des Nationalrats hat jedoch durch die abweichende Ausgestaltung von Artikel 28 RTVG das Ebenen- modell in Frage gestellt. 4. Die Auswirkungen der Erhöhung der Fernseh-Werbezeit auf die Printmedien sind schwierig abzuschätzen. Grundsätzlich lassen sich die verschiedenen Werbeträger untereinander nur beschränkt substituieren. Im übrigen ist daran zu erinnern, dass das Gesuch der AG für das Werbefernsehen (AGW) auf einen Kompromiss der SRG und des Zeitungsverlegerverban- des zurückgeht. Der bundesrätliche Entscheid ist restriktiver ausgefallen als der Antrag der AGW. Präsident: Der Interpellant ist von der Antwort des Bundes- rates teilweise befriedigt. #ST# 88.891 Interpellation Braunschweig Handel mit Raketentechnologie. Kontrolle Industrie des fusées. Contrôle des transactions Wortlaut der Interpellation vom 16. Dezember 1988 Einige Nato-Länder und Japan sind am 16. April 1987 überein- gekommen, Richtlinien für die Genehmigung der Ausfuhr von nuklearfähigen Trägersystemen anzuwenden, die wesentlich von den USA erarbeitet worden sind. So wünschbar Ausfuhr- restriktionen im Gebiete der Raketentechnologie sind, so we- nig tragen Richtlinien dieser Art zur internationalen Sicherheit bei, wenn sie ohne eigene Vorleistungen und diskriminierend angewendet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