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89.528 vom 4. Oktober 1989</w:t>
      </w:r>
    </w:p>
    <w:p>
      <w:r>
        <w:t>Bundesverwaltung, 1989-10-04, DE</w:t>
      </w:r>
    </w:p>
    <w:p>
      <w:r>
        <w:rPr>
          <w:b/>
        </w:rPr>
        <w:t xml:space="preserve">Quelle: </w:t>
      </w:r>
      <w:r>
        <w:t>https://mcp.opencaselaw.ch/entscheid/ch_vb_89.528</w:t>
      </w:r>
    </w:p>
    <w:p>
      <w:r>
        <w:t>FR: CH_VB 89.528 du 4 octobre 1989</w:t>
      </w:r>
    </w:p>
    <w:p>
      <w:r>
        <w:t>IT: CH_VB 89.528 del 4 ottobre 1989</w:t>
      </w:r>
    </w:p>
    <w:p>
      <w:pPr>
        <w:pStyle w:val="Heading2"/>
      </w:pPr>
      <w:r>
        <w:t>Erwägungen</w:t>
      </w:r>
    </w:p>
    <w:p>
      <w:r>
        <w:rPr>
          <w:b/>
        </w:rPr>
        <w:t>E. 4</w:t>
      </w:r>
    </w:p>
    <w:p>
      <w:r>
        <w:t>Oktober 1989 561 Steuerharmonisierung. Bundesgesetze dürfnis, Mittel aus der zweiten Säule für selbstgenutztes Wohn- eigentum realisieren zu können. Eine weitere Variante der Wohneigentumsförderung wird heute schon praktiziert, indem die Vorsorgeeinrichtungen ih- ren Versicherten zu relativ günstigen Bedingungen Hypothe- kardarlehen gewähren. Gemäss den Ende dieses Jahres zu publizierenden Details der Pensionskassenstatistik haben die Vorsorgeeinrichtungen im Jahre 1987 über 13 Milliarden Fran- ken Hypothekardarlehen ausstehen. Dieser Betrag dürfte sich in der Zwischenzeit noch erhöht haben. Der Bundesrat und Sie möchten ja mit diesen Sofortmassnahmen im Bodenrecht indirekt einen weiteren Anreiz ausüben, damit die Pensions- kassen und Lebensversicherer noch vermehrt Hypothekardar- lehen für ihre Versicherten gewähren. Dabei ist allerdings zu beachten, dass die Forderung, zinsgünstige Hypotheken zu gewähren, mit der gesetzlichen Verpflichtung der Pensions- kassen konkurrenziert, ihre Anlagen zu marktüblichen Erträ- gen anzulegen. Die Herausgabe eines Teils der Freizügigkeitsleistungen für die Verwendung im Wohneigentum der Versicherten, die wir grundsätzlich - wie der Motionär - begrüssen, stellt versiche- rungstechnisch noch einige heikle Fragen, weil damit das auf Solidarität aufgebaute Finanzierungssystem der Pensions- kassen beeinträchtigt werden kann. Auch die Verpfändung nicht nur künftiger Leistungen, sondern des bereits vorhande- nen Vorsorgekapitals kann - wenigstens theoretisch - diese Schwierigkeiten bereiten. Die zuständigen Organe sind daher zurzeit mit der Abklärung dieser versicherungstechnischen Fragen beschäftigt. Nachdem der Bundesrat die Stossrichtung Ihrer Motion voll akzeptiert, aber in bezug auf die konkrete Ausgestaltung noch freie Hand behalten möchte, möchte ich Sie bitten - damit wir diese versicherungstechnischen Abklärungen wirklich ohne Präjudiz vornehmen können -, die Motion in ein Postulat um- zuwandeln. Küchler: Ich habe mit Genugtuung zur Kenntnis genommen, dass der Bundesrat grundsätzlich die Stossrichtung akzep- tiert, dass er bereit ist, eine Lockerung des Verpfändungsver- botes zu Artikel 331 e OR noch vor der BV-Revision zu behan- deln. Ich habe auch zur Kenntnis genommen, dass man gemäss Vorschlag der eidgenössischen Kommission für die berufliche Vorsorge anscheinend bereit ist, auch die Verpfändungsmög- lichkeit auf den nichtobligatorischen Teil auszudehnen, ferner die Verpfändbarkeit auch für die Todesfall- und Invaliditätslei- stungen vorzusehen. Ich bedaure aber, dass der Ausbau zum echten Pfand, das heisst der sofortige Zugriff des Grundpfand- gläubigers bei Velusten auf der Liegenschaft, als noch nicht entscheidungsreil bezeichnet wird. Ich meine, den angeführ- ten Bedenken könnte durch Statuierung einer Versicherungs- pflicht ohne weite pes Rechnung getragen werden. Für Verhei- ratete wären die Prämien ohnehin sehr niedrig. Aber aufgrund d&lt;îr Tatsache, dass dem Rat eine entspre- chende Vorlage ;:usammen mit der Neuordnung der BVG- Freizügigkeitsregolung noch vor der umfassenden BVG-Revi- sion unterbreitet werden soll, kann ich mich mit der Umwand- lung in ein Postulc.t einverstanden erklären. Frau Weber: Ich Möchte zuerst danken, dass dieses Postulat überhaupt eingereicht wurde, und ich möchte dem Bundesrat danken, dass er bsreit ist, das Ganze im Rahmen der komple- xen Materie der Freizügigkeit zu behandeln. Ich habe drei kleine Ergänzungen zu diesem Postulat: 1. Es wird im erste n Satz ganz allgemein von einer Lockerung des Verpfändung;iverbotes gesprochen, ich möchte diese all- gemeine Bezeichnung ein bisschen einschränken. Wir haben es erst gerade fertiggebracht, bezüglich der Löhne ein Pfän- dungsverbot zu ei lassen. Wenn wir nun bei der zweiten Säule eine allgemeine Lockerung des Pfändungsverbotes erlauben, laufen wir Gefahr in dasselbe Problem hineinzuschliddern, wie es früher bei Jen Löhnen bestand. Die Lockerung sollte auf jeden Fall geschehen, aber nicht uneingeschränkt; es sollte klar umschr eben werden, zu welchem Zweck gelockert wird. 2. Es wird verlangt, dass für Versicherte eine Regelung getrof- fen wird, damit sie Wohneigentum erwerben können. Es ist richtig, dass man das postuliert. Die Beschränkung wird fest- gelegt mit «bis zur Hälfte des jeweiligen Freizügigkeitsgutha- bens». Schon der Bundesrat hat darauf hingewiesen, dass be- sonders junge Menschen entsprechende Wünsche haben und dass wir im Grunde genommen für sie gerade nicht eine absolute Grenze von «bis zur Hälfte» festlegen können. Wir könnten meines Erachtens für junge Leute ruhig über die Hälfte hinausgehen und vielleicht bei den älteren Arbeitneh- mern, also denjenigen nach 40, sukzessive auf die Hälfte zu- rückgehen. 3. Im Postulat wird überhaupt nicht erwähnt, was mit jenem Geld geschieht, das frei wird, wenn z. B. der Arbeitnehmer die Wohnung oder das Haus verkauft. Es ist sehr wichtig ist, dass der Rücklauf so geregelt ist, dass dieses Geld wieder in die Pensionskasse zurückfliesst, dass das nicht nur gewährlei- stet, sondern zwingend ist. Diese drei Bemerkungen wollte ich noch machen. Ich stimme dem Postulat zu. » Kündig: Ich muss nur auf einen Irrtum hinweisen. Im BVG heisst es nirgends, dass nur die Hälfte der Altersguthaben für Wohneigentum eingesetzt werden dürfe, sondern es heisst ausdrücklich, dass das gesamte Altersguthaben bis zum 50. Altersjahr, im Maximum jedoch die Hälfte des Altersguthabens bei Eintritt des Rentenalters für Wohneigentum verpfändet werden darf. Die Förderung der Jungen in diesem Bereich ist im Gesetz also vorgesehen. Bedauerlich ist nur, dass in der Zwischenzeit noch nie passiert ist, was man damals ausdrück- lich verlangt hat. Auch die Forderung von Frau Weber, dass wieder freiwerden- des Kapital in die Versicherung respektive in die Pensions- kasse zurückfliessen müsse, ist 1982 klar zum Ausdruck ge- kommen. Ueberwiesen als Postulat- Transmis comme postulat #ST# 83.043 Steuerharmonisierung. Bundesgesetze Harmonisation fiscale. Lois Siehe Jahrgang 1988, Seite 809 - Voir année 1988, page 809 Beschluss des Natipnalrates vom 7. Juni 1989 Décision du Conseil national du 7 juin 1989 Differenzen - Divergences Le président: La commission vous propose d'examiner d'abord, en ce qui concerne l'arrêté A, les articles 18 et 18a et ensuite, à l'arrêté B, les articles 51 et suivants. A. Bundesgesetz über die Harmonisierung der direkten Steuern der Kantone und Gemeinden Loi fédérale sur l'harmonisation des impôts directs des cantons et des communes Art. 18 Antrag der Kommission Mehrheit Zustimmung zum Beschluss des Nationalrates Minderheit (Küchler, Hefti, Kündig, Meier Hans, Reichmuth, Zumbühl) Festhalten</w:t>
      </w:r>
    </w:p>
    <w:p>
      <w:r>
        <w:t>Schweizerisches Bundesarchiv, Digitale Amtsdruckschriften Archives fédérales suisses, Publications officielles numérisées Archivio federale svizzero, Pubblicazioni ufficiali digitali Motion Küchler Förderung von Wohneigentum mit Mitteln der zweiten Säule Motion Küchler Accès à la propriété locative et fonds de la prévoyance professionnelle In Amtliches Bulletin der Bundesversammlung Dans Bulletin officiel de l'Assemblée fédérale In Bollettino ufficiale dell'Assemblea federale Jahr 1989 Année Anno Band IV Volume Volume Session Herbstsession Session Session d'automne Sessione Sessione autunnale Rat Ständerat Conseil Conseil des Etats Consiglio Consiglio degli Stati Sitzung 10 Séance Seduta Geschäftsnummer 89.528 Numéro d'objet Numero dell'oggetto Datum 04.10.1989 - 08:15 Date Data Seite 559-561 Page Pagina Ref. No 20 017 979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