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89.512 vom 6. Oktober 1989</w:t>
      </w:r>
    </w:p>
    <w:p>
      <w:r>
        <w:t>Bundesverwaltung, 1989-10-06, DE</w:t>
      </w:r>
    </w:p>
    <w:p>
      <w:r>
        <w:rPr>
          <w:b/>
        </w:rPr>
        <w:t xml:space="preserve">Quelle: </w:t>
      </w:r>
      <w:r>
        <w:t>https://mcp.opencaselaw.ch/entscheid/ch_vb_89.512</w:t>
      </w:r>
    </w:p>
    <w:p>
      <w:r>
        <w:t>FR: CH_VB 89.512 du 6 octobre 1989</w:t>
      </w:r>
    </w:p>
    <w:p>
      <w:r>
        <w:t>IT: CH_VB 89.512 del 6 ottobre 1989</w:t>
      </w:r>
    </w:p>
    <w:p>
      <w:pPr>
        <w:pStyle w:val="Heading2"/>
      </w:pPr>
      <w:r>
        <w:t>Erwägungen</w:t>
      </w:r>
    </w:p>
    <w:p>
      <w:r>
        <w:rPr>
          <w:b/>
        </w:rPr>
        <w:t>E. 6</w:t>
      </w:r>
    </w:p>
    <w:p>
      <w:r>
        <w:t>Oktober 1989 N 1705 Motion Weber-Schwyz delns des Bundesrates eine Rücknahme der Delegations- norm gefordert wird. Letztere Massnahme fällt aber zweifels- frei in den Kompetenzbereich des Parlaments. Schriftliche Stellungnahme des Bundesrates vom 23. August 1989 Rapport écrit du Conseil fédéral du 23 août 1989 Zu den Aspekten der Drogensituation und der Drogenpolitik in der Schweiz erstellte die Subkommission «Drogenfragen» der Eidgenössischen Betäubungsmittelkommission einen einge- henden Bericht, welcher am 19. Juni 1989 vom Bundesrat zur Kenntnis genommen und anschliessend den Kantonen und interessierten Kreisen zurStellungsnahme unterbreitet wurde. Der Bundesrat beabsichtigt im Anschluss an diese Konsulta- tion und deren Auswertung, über das weitere Vorgehen in der - äusserst kontrovers diskutierten - Drogenpolitik zu entschei- den. Die Motion verlangt Massnahmen, welche bereits eine bestimmte Politik in diesem Bereich voraussetzt; ihre An- nahme würde somit den Entscheidungsspielraum des Bun- desrates für die noch festzulegende Politik einschränken, noch bevor alle Entscheidungskriterien vorlägen. Der Bundesrat ist bereit, die Anliegen des Motionärs im Rah- men der generellen Ueberarbeitung der Drogenpolitik zu prü- fen. Dabei müssen vor allem die Probleme der technischen Durchführbarkeit und der Schranken des nationalen und inter- nationalen Rechts, welche sich hierbei stellen, vertieft abge- klärtwerden. Schriftliche Erklärung des Bundesrates Déclaration écrite du Conseil fédéral Der Bundesrat beantragt, die Motion in ein Postulat umzuwan- deln. Präsident: Diese Motion wird auch in der Postulatsform, durch die Herren Frey Walter, Scherrer und Steffen bekämpft. Damit ist Diskussion gegeben. Die Diskussion wird verscho- ben. Verschoben - Renvoyé #ST# 89.542 Motion Weber-Schwyz Förderung von Wohneigentum mit Mitteln der zweiten Säule Accès à la propriété locative et fonds de la prévoyance professionnelle Wortlaut der Motion vom 22. Juni 1989 Der Bundesrat wird eingeladen, im Rahmen der Neuordnung der BVG-Freizügigkeit eine Lockerung des in Artikel 331 e OR verankerten Verpfändungsverbotes für Vorsorgemittel vorzu- sehen. Darüber hinaus ist eine Regelung vorzuschlagen, wo- nach die obligatorisch, vor- und ausserobligatorisch ange- sparten Mittel der beruflichen Vorsorge von den Versicherten für den Erwerb von selbstgenutztem Wohneigentum bis zur Hälfte des jeweiligen Freizügigkeitsguthabens in Anspruch genommen werden können. Texte de la motion du 22 juin 1989 Le Conseil fédéral est prié, dans le cadre du nouveau règle- ment du libre passage au titre de la loi sur la prévoyance pro- fessionnelle, d'assouplir l'interdiction de mettre en gage les fonds de prévoyance qui est prescrite à l'article 331 c, du Code des obligations. Il est invité en outre à proposer une disposi- tion par laquelle les ressources économisées au titre de la prévoyance obligatoire, préobligatoire et hors régime obliga- toire puissent être utilisées par l'assuré, jusqu'à concurrence de la moitié de l'avoir de libre passage, pour l'acquisition de la propriété de son logement à usage personnel. Mitunterzeichner-Cosignataires: Aliesch, Allenspach, Antille, Auer, Basler, Blatter, Bonny, Bremi, Bühler, Bürgi, Cevey, Co- lumberg, Couchepin, Dietrich, Eggly, Eisenring, Engler, Eti- que, Fäh, Fischer-Hägglingen, Fischer-Sursee, Frey Walter, Früh, Graf, Gysin, Hess Otto, Hess Peter, Humbel, Jeanneret, Keller, Kühne, Leuba, Loeb, Loretan, Mühlemann, Müller- Mei- len, Müller-Wiliberg, Nebiker, Neuenschwander, Reichling, Reimann Maximilian, Rutishauser, Schnider, Schule, Schwab, Seiler Hanspeter, Steinegger, Stucky, Tschuppert, Wellauer, Widrig, Wyss Paul, Zwingli (53) Schriftliche Begründung - Développement par écrit In Anbetracht der stark gestiegenen Bodenpreise und Bauko- sten wird es für den Durchschnittsbürger immer schwieriger, Wohneigentum zu erwerben, zumal das ihm im Rahmen der beruflichen Vorsorge auferlegte Zwangssparen einen Gross- teil seiner Sparkraft entzieht. Es ist daher naheliegend, ihm die Inanspruchnahme der in der zweiten Säule angesparten Mittel zu gestatten, da der Erwerb von Wohneigentum ohnehin zu den sinnvollsten und wirksamsten Formen der Altersvorsorge zu zählen ist. Das im Bundesgesetz über die berufliche Vor- sorge vorgesehene Instrument der Verpfändung hat sich als unzulänglich erwiesen. Ausserdem machen die obligatorisch angesparten Mittel einstweilen nur einen Bruchteil der ins- gesamt vorhandenen Kapitalien der zweiten Säule aus. Des- halb sind auch die vor- und ausserobligatorisch angesparten Mittel einzubeziehen. Die Vorsorge-Ersparnisse aus der Zeit vor 1985 dürfen von der Wohnbauförderung nicht ausge- schlossen bleiben. Die wirkungsvollste Förderung wird durch Barauszahlung der angesparten Gelder erreicht, wobei im Grundbuch anzumer- ken wäre, dass Gelder der beruflichen Vorsorge beansprucht worden sind. Damit kann problemlos eine Zweckentfremdung verunmög- licht werden. Um Liquiditätsschwierigkeiten und die bei Bar- auszahlung auftretenden (bescheidenen) administrativen Er- schwerungen zu vermeiden, sollte der Vorsorgeeinrichtung gestattet werden, anstelle der Barauszahlung ein gewöhnli- ches Hypothekardarlehen zu gewähren oder die Verpfändung - die heute gemäss Artikel 331 e OR untersagt ist - zu gestat- ten. Für den Fall der Verpfändung ist dafür zu sorgen, dass es sich um ein echtes Pfand handelt, d. h. im Falle der Zahlungs- unfähigkeit sofort verwertet werden kann. Der Umstand, dass es hier um blosse anwartschaftliche Ansprüche geht, steht die- ser sofortigen Verwertung nicht entgegen, sind doch auch an- dere Fälle von Barauszahlung zugelassen. Einzig im Todesfall ohne anspruchsberechtigte Hinterlassene entsteht kein An- spruch. Diese Einschränkung dürfte aber das Rand nicht ent- werten, weil Wohneigentum in aller Regel nur von Personen mit Familie erworben werden will. Die Inanspruchnahme soll nur bis zur halben Höhe des Freizügigkeitsguthabens gehen, analog der Bestimmung von Artikel 37 BVG. Mit der Neuregelung kann nicht bis zu der für die Mitte der neunziger Jahre geplanten Revision des BVG zugewartet wer- den. Sie soll daher gleichzeitig mit der Neuordnung der Freizü- gigkeit erfolgen, die dann auch die Voraussetzung für die zah- lenmässige Ermittlung des Anspruchs schafft. Schriftliche Stellungnahme des Bundesrates vom 18. September 1989 Rapport écrit du Conseil fédéral du 18 septembre 1989 Die Frage eines verstärkten Einsatzes der in der zweiten Säule der AHl-Vorsorge angesparten Mittel zur Förderung des Wohneigentums wurde im Zusammenhang mit den Vorberei- tungsarbeiten für die Revision des BVG geprüft. Die Eidgenös- sische Kommission für Berufliche Vorsorge empfiehlt dem Bundesrat, Artikel 331 c Absatz 2 OR dahingehend zu ändern, dass die Verpfändung der Leistungen einer Vorsorgeeinrich- tung zur Finanzierung von selbstbenutztem Wohneigentum des Versicherten nicht nur im Rahmen des BVG-Obligatori- ums gemäss Artikel 40 BVG, sondern auch im nicht obligatori- schen Bereich der beruflichen Vorsorge möglich wird. Zudem</w:t>
      </w:r>
    </w:p>
    <w:p>
      <w:r>
        <w:t>Schweizerisches Bundesarchiv, Digitale Amtsdruckschriften Archives fédérales suisses, Publications officielles numérisées Archivio federale svizzero, Pubblicazioni ufficiali digitali Motion Günter Aerztlich kontrollierte Abgabe von Heroin an Süchtige Motion Günter Distribution, sous contrôle médical, d'héroïne aux toxicomanes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89.512 Numéro d'objet Numero dell'oggetto Datum 06.10.1989 - 08:00 Date Data Seite 1703-1705 Page Pagina Ref. No 20 017 769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