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89.418 vom 15. Juni 1989</w:t>
      </w:r>
    </w:p>
    <w:p>
      <w:r>
        <w:t>Bundesverwaltung, 1989-06-15, DE</w:t>
      </w:r>
    </w:p>
    <w:p>
      <w:r>
        <w:rPr>
          <w:b/>
        </w:rPr>
        <w:t xml:space="preserve">Quelle: </w:t>
      </w:r>
      <w:r>
        <w:t>https://mcp.opencaselaw.ch/entscheid/ch_vb_89.418</w:t>
      </w:r>
    </w:p>
    <w:p>
      <w:r>
        <w:t>FR: CH_VB 89.418 du 15 juin 1989</w:t>
      </w:r>
    </w:p>
    <w:p>
      <w:r>
        <w:t>IT: CH_VB 89.418 del 15 giugno 1989</w:t>
      </w:r>
    </w:p>
    <w:p>
      <w:pPr>
        <w:pStyle w:val="Heading2"/>
      </w:pPr>
      <w:r>
        <w:t>Erwägungen</w:t>
      </w:r>
    </w:p>
    <w:p>
      <w:r>
        <w:rPr>
          <w:b/>
        </w:rPr>
        <w:t>E. 15</w:t>
      </w:r>
    </w:p>
    <w:p>
      <w:r>
        <w:t>Juni 1989 317 Interpellation Dobler leurs, le droit de trancher toutes les questions de principe, en dehors même des cas qui lui sont transmis par le Département fédéral des affaires étrangères. Dans les cas de routine ou les petits cas - il s'agit quelquefois de l'exportation d'une arme, et il y en a quelques milliers par année - qui ne passent pas par le Conseil fédéral, les décisions sont prises par le Département militaire fédéral, après consultation du Département des affai- res étrangères, en fonction de l'article 12 de l'ordonnance. En pratique, l'avis du Département fédéral des affaires étrangères est déterminant. Les difficultés résident dans la définition de ce qui est une arme ou ce qui peut le devenir. Il est par ailleurs possible, dans les cas de peu d'importance-je viens de le dire - de renoncer à la consultation. Il y a un certain nombre de di- rectives à se sujet. Celles-ci ont été révisées la dernière fois en 1986, elles s'appliquent principalement aux exportations de faible valeur, vers des pays dont la situation politique ne sus- cite aucune réserve, sur le plan des droits de l'homme en parti- culier. Ces directives concernent également toutes les expor- tations d'armes privées, ainsi que de petites quantités d'explo- sifs, souvent destinés à des fins civiles. Il est donc dans la na- ture des choses que ces cas constituent la majeure partie des affaires traitées. Si l'on considère en revanche les choses non pas en fonction du nombre mais en fonction de la valeur, on constate qu'en 1988, par exemple, les cas de peu d'importance, très nom- breux, représentaient un montant de 94,4 millions de francs. Par contre, le total des exportations ascendait à 504 millions. Sur les 94 millions, seuls 36 millions correspondaient à des exportations définitives, la différence représentant des expor- tations sous passavant. Pour apprécier la situation dans un pays donné, le Départe- ment des affaires étrangères s'appuie principalement sur des rapports établis par nos représentants diplomatiques à l'étran- ger. Il lui est en outre loisible, pour compléter son apprécia- tion, de faire appel à d'autres sources d'information. Enfin, nous avons depuis le début de cette année décidé d'augmen- ter, à l'intérieur de notre département, l'effectif du Service des droits de l'homme, de manière à ce qu'il puisse davantage se pencher sur ce problème et entraîner aussi le Conseil fédéral et le Département militaire à mieux tenir compte, dans tous les cas qui lui seront signalés, des critères des droits de l'homme dans les décisions qu'il prendra en matière d'exportation d'ar- mes. Toutes les questions que vous posez sont totalement perti- nentes et nous nous les posons également. Nous vous signa- lons cependant - c'est un élément important et intéressant - qu'actuellement la situation juridique et l'application de la loi sur l'exportation du matériel de guerre, fait l'objet d'une ins- pection détaillée de la Commission de gestion. La procédure d'autorisation est particulièrement analysée et nous souhai- tons vivement que, à la suite de cette inspection, nous puis- sions procéder à une modifidcation d'un certain nombres des règles de l'ordonnance, voire de la loi, de manière à ce que nous n'ayons plus à nous poser constamment le problème de savoir à quel département revient la responsabilité. Ces règles méritent d'être précisées pour le plus grand bien - comme vous le dites, Monsieur Béguin - de l'image de la Suisse et de sa politique extérieure. M. Béguin: Je remercie M. le conseiller fédéral de sa réponse qui me satisfait. #ST# 89.439 Interpellation Dobler Stellung der Schweiz in der UNO Statut de la Suisse à l'ONU Wortlaut der Interpellation vom 17. März 1989 In jüngster Zeit ist Bewegung in den Status des Nichtmitglied- staates gekommen. Es sind Demarchen im Gange, die sich um ein einmaliges Rederecht für Nichtmitgliedstaaten wäh- rend der Generaldebatte sowie um optische Aufnahme im Halbrund der Staaten im Unterschied zu nichtstaatlichen Or- ganisationen bemühen. In diesem Zusammenhang frage ich den Bundesrat an, ob er nicht bereit ist, sich solidarisch diesen Forderungen der Nicht- mitgliedstaaten anzuschliessen und sie tatkräftig zu unterstüt- zen? Texte de l'interpellation du 17 mars 1989 Récemment, la question du statut des Etats ne faisant pas par- tie de l'ONU a évolué. Des démarches ont été entreprises afin de reconnaître à ces pays le droit de faire une déclaration à chaque assemblée générale des Nations Unies et de permett- re à leurs délégations de siéger dans l'hémicycle réservé aux représentants des gouvernements pour les distinguer de ceux des organisations non gouvernementales. Le Conseil fédéral est-il disposé à se déclarer solidaire des Etats non membres et à soutenir activement leurs revendica- tions susmentionnées? Mitunterzeichner- Cosignataires: Cavelty, Cottier, Delalay, Ga- dient, Huber, Jagmetti, Kündig, Meier Hans, Reichmuth, Rhi- now, Roth, Ruesch, Schmid, Schönenberger, Uhlmann, We- ber (16) Dobler: In der Botschaft des Bundesrates über den Beitritt der Schweiz zur Organisation der Vereinten Nationen vom 21. De- zember 1981 Seite 75 war folgendes zu lesen: «Es ist im übrigen eines Staates wie der Schweiz ganz einfach nicht würdig, die Vorteile, die eine Mitgliedschaft der Uno mit sich bringt, auch als Nichtmitglied zu beanspruchen, wenn es um die Wahrnehmung unserer Interessen geht, aber nicht be- reit ist, die entsprechende Verantwortung mitzutragen, die heute jeder Staat selbstverständlich übernimmt. Noch weni- ger ist es unserer Stellung in der Welt als souveräner Staat an- gemessen, freiwillig ein Statut in Kauf zu nehmen, das uns rechtlich schlechter stellt als eine von der Uno anerkannte Be- freiungsbewegung oder uns zumindest in dieselben Reihen verweist.» Diese Aussage gibt eine Darstellung der rechtlichen und tat- sächlichen Situation wieder, wie sie von den Befürwortern ei- nes Uno-Beitritts damals landauf, landab proklamiert wurde. Man ist nicht müde geworden, die Begrenztheit der Möglich- keiten unseres Beobachterstatus aufzuzeigen und schliess- lich festzustellen, dass sich dieser zusehends verschlechtert. Der Bundesrat hat in seiner Botschaft auf Seite 74 aufgrund verschiedener Zeichen sogar prognostisch dargelegt, dass sich diese Entwicklung künftig noch verstärke. Glücklicherweise war die Auffassung des Bundesrates damals zu pessimistisch, wenn auch im Hinblick auf die Volksabstim- mung verständlich. Die ständige Beobachtermission der Schweiz bei den Verein- ten Nationen in New York kommt in ihrem Bericht vom 23. Ja- nuar 1989 über die 43. Session zu anderen Ergebnissen. Sie stellt fest, dass in jüngster Zeit aus zwei Gründen Bewegung in den Status des Nichtmitgliedstaates gekommen ist: «Eines- teils bemühen sich seit dem vergangenen Sommer sowohl der Vatikan als auch Südkorea um ein einmaliges Rederecht für Nichtmitgliedstaaten während der Generaldebatte sowie um optische Aufnahme im Halbrund der Staaten im Unter- schied zu nichtstaatlichen Organisationen.</w:t>
      </w:r>
    </w:p>
    <w:p>
      <w:r>
        <w:t>Schweizerisches Bundesarchiv, Digitale Amtsdruckschriften Archives fédérales suisses, Publications officielles numérisées Archivio federale svizzero, Pubblicazioni ufficiali digitali Interpellation Béguin Ausfuhr von Kriegsmaterial. Rolle des EDA Interpellation Béguin Exportation de matériel de guerre. Rôle du DFAE In Amtliches Bulletin der Bundesversammlung Dans Bulletin officiel de l'Assemblée fédérale In Bollettino ufficiale dell'Assemblea federale Jahr 1989 Année Anno Band III Volume Volume Session Sommersession Session Session d'été Sessione Sessione estiva Rat Ständerat Conseil Conseil des Etats Consiglio Consiglio degli Stati Sitzung 08 Séance Seduta Geschäftsnummer 89.418 Numéro d'objet Numero dell'oggetto Datum 15.06.1989 - 08:00 Date Data Seite 315-317 Page Pagina Ref. No</w:t>
      </w:r>
    </w:p>
    <w:p>
      <w:r>
        <w:rPr>
          <w:b/>
        </w:rPr>
        <w:t>E. 20</w:t>
      </w:r>
    </w:p>
    <w:p>
      <w:r>
        <w:t>017 651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