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89.417 vom 15. Juni 1989</w:t>
      </w:r>
    </w:p>
    <w:p>
      <w:r>
        <w:t>Bundesverwaltung, 1989-06-15, DE</w:t>
      </w:r>
    </w:p>
    <w:p>
      <w:r>
        <w:rPr>
          <w:b/>
        </w:rPr>
        <w:t xml:space="preserve">Quelle: </w:t>
      </w:r>
      <w:r>
        <w:t>https://mcp.opencaselaw.ch/entscheid/ch_vb_89.417</w:t>
      </w:r>
    </w:p>
    <w:p>
      <w:r>
        <w:t>FR: CH_VB 89.417 du 15 juin 1989</w:t>
      </w:r>
    </w:p>
    <w:p>
      <w:r>
        <w:t>IT: CH_VB 89.417 del 15 giugno 1989</w:t>
      </w:r>
    </w:p>
    <w:p>
      <w:pPr>
        <w:pStyle w:val="Heading2"/>
      </w:pPr>
      <w:r>
        <w:t>Erwägungen</w:t>
      </w:r>
    </w:p>
    <w:p>
      <w:r>
        <w:rPr>
          <w:b/>
        </w:rPr>
        <w:t>E. 15</w:t>
      </w:r>
    </w:p>
    <w:p>
      <w:r>
        <w:t>juin 1989 Monaten erhält, wird seine Personalkarte mit der Eintragung erst aus dem Register entfernt, wenn er das 80. Lebensjahr vollendet hat, es sei denn er sterbe vorher. Denn auch bei sei- nem Ableben wird sozusagen gnadenhalber die Eintragung entfernt. Das ist in Artikel 13 der Verordnung über das Strafre- gister festgelegt. Die Folge dieser mit helvetischem Perfektionismus gepflegten Eintragungspraxis ist eine Registrierungsflut mit Legionen von Dossiers. Beim Schweizerischen Zentralstrafregister sollen es etwa 600 000 Dossiers sein. Ich möchte in aller Form betonen, dass dies nicht etwa der Fehler der Mitarbeiter des Registers ist, die in Ausführung der anwendbaren Vorschriften ein ge- waltiges Arbeitspensum zu leisten haben und vermutlich für jede Entlastung dankbar wären. Dazu kommen die kantona- len Eintragungen, denn das Strafregister wird vom Bund und von den Kantonen geführt. Der Bund registriert alle Personen, die in der Schweiz verurteilt worden sind sowie alle im Ausland verurteilten Schweizer. Die Kantone führen das Strafregister über alle Personen, die von ihren Behörden verurteilt worden sind, sowie über alle verurteilten Kantonsbürger. Daneben bestehen meist noch kantonale Strafkontrollen und schliesslich noch die Strafkontrollen der Strassenverkehrsäm- ter oder Motorfahrzeugkontrollen. Insgesamt dürfte es sich in diesem Bereich um Hunderttausende von Eintragungen und Meldeverfahren handeln, zumal im Sektor des Strassenver- kehrs eine Entwicklung eingetreten ist, die kaum jemand vor- aussehen konnte. Bekanntlich werden heute bereits Ord- nungsbussen ab 80 Franken den Kantonen gemeldet. Diese Bussen werden wohl in den meisten Fällen in den Straf kontrol- len der Strassenverkehrsämter eingetragen. Die Meldepflicht ist in Artikel 12 der VZV, der bundesrätlichen Verordnung über die Zulassung von Personen und Fahrzeugen zum Strassen- verkehr, vorgeschrieben. Die gestrige «Basler Zeitung» wusste zu berichten - nur um auch ein Beispiel aus den Kantonen zu nennen -, dass im kan- tonalen Strafregister 200 000 Einträge verwaltet werden. Im letzten Jahr seien schätzungsweise 6000 bis 7000 Neuein- träge dazu gekommen. Die Motorfahrzeugkontrolle der Stadt Basel zähle jährlich etwa 2000 Neueintragungen mit einer Bussensumme von rund 100 Franken und etwa 800 Eintra- gungen mit Bussen von 150 bis 200 Franken. Im Jahre 1986 wurden annähernd 60 000 Strafurteile gefällt und ins Zentral- strafregister eingetragen. 47 Prozent dieser Urteile enthalten mindestens einen Verstoss gegen das SVG, 37 Prozent einen solchen gegen das Strafgesetzbuch. Bei den verhängten Frei- heitsstrafen überwiegen eindeutig die kurzen Strafen. In 86 Prozent aller Fälle betrug die Strafdauer drei Monate oder we- niger. Es besteht in der Tat kein Grund, insbesondere für der- art begrenzte Strafen, eine Datei während 15 Jahren aufrecht- zuerhalten. Aus all diesen Gründen verlangt mein Postulat eine Neurege- lung der Eintragungen ins Zentralstrafregister in dem Sinne, dass gelöschte Strafen mit Ausnahme solcher für schwerwie- gende Verbrechen aus dem Strafregister definitiv zu entfernen sind. Wenn man die mit Zuchthaus bestraften Taten wie bis an- hin generell registriert behalten möchte, wofür es eine krimina- listische Begründung geben mag, wäre die im ersten Absatz dieses Punktes enthaltene Ausnahme auf Verbrechen statt auf die Kategorie der schwerwiegenden Verbrechen zu beschrän- ken. Eine Möglichkeit könnte auch darin liegen, die Ausnahme auf Straftaten zu beziehen, die zum Beispiel mit einer Freiheits- strafe von mehr als einem Jahr geahndet werden. Im Zuge ei- ner solchen Revision sollen auch die Eintragungsvorausset- zungen neu überprüft werden. Schliesslich wird die Prüfung verlangt, inwieweit nicht Urteile wegen Strassenverkehrsdelikten in einem separaten Register zu erfassen sind. Die gegenwärtige Regelung ist ohne Zweifel korrekturbedürftig. Ich habe Lösungsmöglichkeiten kurz an- gedeutet. Zum Beispiel könnte auch die Anhebung der Eintra- gungsgrenzen in Betracht kommen. Dabei müsste es sich al- lerdings um eine markante Anhebung handeln. Persönlich halte ich sodann dafür, dass sich so oder anders für die Stras- senverkehrsdelikte ein separates Register aufdrängt, dies mindestens für Verletzungen des SVG und der Nebenerlasse. In diesem Sektor müsste sicher auch die Einführung eines so- genannten Punktesystems geprüft werden, das die Admini- strierung kolossal vereinfacht und das sich insbesondere in der Bundesrepublik Deutschland sehr bewährt hat. Wenn ich diese Anliegen in Postulatsform vortrage, so deswe- gen, weil dieAenderung der massgeblichen Verordnung, zum Beispiel Artikel 13 mit diesen unsinnigen Fristen für die Ent- fernung der Eintragungen, in der Kompetenz des Bundesrates liegt, während die grundsätzlichen Bestimmungen über das Strafregister im Strafgesetzbuch enthalten sind. Auch soll die Revision einem zeitgemässen Gesamtkonzept entsprechen, so dass beide Bereiche aufeinander abzustimmen sein wer- den. Ich zähle indessen darauf, dass gleichwohl jede Verzöge- rung dieser überdringlichen Revision vermieden wird, und ich ersuche Sie höflich um Ueberweisung des Postulates. Bundesrat Koller: Das Strafregisterrecht wird gegenwärtig im Zuge der Revision des dritten Buches des Strafgesetzes einer Gesamtüberprüfung unterzogen. Der Bundesrat ist auch be- reit, die vom Postulanten geforderte vom Zentralstrafregister getrennte Registrierung von Verstössen gegen die Strassen- verkehrsgesetzgebung zu prüfen. Wir haben unsere diesbe- zügliche Bereitschaft schon bei der Entgegennahme einer ähnlich lautenden Motion von Herrn Nationalrat Graf kund- gegeben, die wir als Postulat entgegengenommen haben. Der Bundesrat erachtet es auch als einer vertieften Prüfung wert, ob die heute bestehenden, recht engen Möglichkeiten der gänzlichen Entfernung von Einträgen aus dem Strafregister ausgebaut werden sollen. Er hält es für zweckmässig, auch dieses Vorhaben in den Gesamtrahmen der eingangs erwähn- ten Revisionsarbeiten zu stellen. Der Bundesrat und - so glaube ich - auch Herr Ständerat Ga- dient sind sich dabei bewusst, dass es letztlich um eine Ab- wägung von sich zum Teil entgegenstehenden Interessen geht. Auf der einen Seite stehen die legitimen Interessen der Strafverfolgungsbehörden - vor allem des Strafrichters -, sich eine genaue Kenntnis der Persönlichkeit der zu beurteilenden Menschen über eine längere Zeit zu verschaffen, weil der Rich- ter in Anwendung von Artikel 63 StGB nach unserem Schuld- strafrecht bei der Strafzumessung das Vorleben ja massgeb- lich mitberücksichtigen muss. Insofern kann sich ja auch der negative Auszug aus dem Strafregister für einen Angeschul- digten positiv auswirken. Auf der anderen Seite - das ist uns klar- stehen die Interessen des einzelnen, der bei Wohlverhal- ten nach einer gewissen Zeit früher begangene Fehler in Ver- gessenheit geraten lassen will. Diese Güterabwägung ver- langt eine vertiefte Ueberprüfung, wobei - auch hier sind wir mit dem Postulanten einig -der entscheidende Gesichtspunkt derjenige der Resozialisierungserleichterung sein muss. Der Bundesrat ist daher bereit, dieses Postulat entgegenzuneh- men. Wir werden prüfen, ob wir allenfalls nicht sogar die Revi- sion der Verordnung vorweg behandeln können, weil es in der Natur der Sache liegt, dass die Revision der Artikel 359ff. des Strafgesetzbuches zeitlich bedeutend aufwendiger ist.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Gadient Zentralstrafregistereintragungen Postulat Gadient Inscription au casier judiciaire central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08 Séance Seduta Geschäftsnummer 89.417 Numéro d'objet Numero dell'oggetto Datum 15.06.1989 - 08:00 Date Data Seite 303-304 Page Pagina Ref. No</w:t>
      </w:r>
    </w:p>
    <w:p>
      <w:r>
        <w:rPr>
          <w:b/>
        </w:rPr>
        <w:t>E. 20</w:t>
      </w:r>
    </w:p>
    <w:p>
      <w:r>
        <w:t>017 646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