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89.389 vom 19. September 1989</w:t>
      </w:r>
    </w:p>
    <w:p>
      <w:r>
        <w:t>Bundesverwaltung, 1989-09-19, DE</w:t>
      </w:r>
    </w:p>
    <w:p>
      <w:r>
        <w:rPr>
          <w:b/>
        </w:rPr>
        <w:t xml:space="preserve">Quelle: </w:t>
      </w:r>
      <w:r>
        <w:t>https://mcp.opencaselaw.ch/entscheid/ch_vb_89.389</w:t>
      </w:r>
    </w:p>
    <w:p>
      <w:r>
        <w:t>FR: CH_VB 89.389 du 19 septembre 1989</w:t>
      </w:r>
    </w:p>
    <w:p>
      <w:r>
        <w:t>IT: CH_VB 89.389 del 19 settembre 1989</w:t>
      </w:r>
    </w:p>
    <w:p>
      <w:pPr>
        <w:pStyle w:val="Heading2"/>
      </w:pPr>
      <w:r>
        <w:t>Erwägungen</w:t>
      </w:r>
    </w:p>
    <w:p>
      <w:r>
        <w:rPr>
          <w:b/>
        </w:rPr>
        <w:t>E. 19</w:t>
      </w:r>
    </w:p>
    <w:p>
      <w:r>
        <w:t>septembre 1989 rend wirken auch der fehlende Gläubigerschutz, die relative Starrheit der Stiftungen wegen der weitgehenden Unabänder- lichkeit der Stiftungsurkunde und die beschränkten Möglich- keiten der Finanzierung; es ist keine Kapitalerhöhung mit Hilfe bisheriger oder zusätzlicher Teilhaber möglich. Für den Fall eines Verbots schiene die Formulierung «mit vor- wiegend wirtschaftlichem Zweck» geeignet zu sein. Damit wür- den auch Unternehmensstiftungen mit primär wirtschaftli- chem Zweck und bescheidenem «ideellen Mäntelchen» er- fasst. Entsprechend müssten die Aufsichtsbehörden jederzeit prüfen können, ob eine Stiftung ihrem ideellen Zweck wirklich nachkommt. Trifft dies nicht oder nicht mehr zu, so müsste die betreffende Stiftung letztlich aufgelöst werden. Allerdings kön- nen selbst durch diese Verfahrensweise oder durch die vorge- schlagene Formulierung Umgehungen nicht vollständig ver- hindertwerden. Auf der ändern Seite befürworten vor allem Rechtsanwälte die Einführung der Stiftung mit wirtschaftlichem Zweck. Sie sehen darin eine erwünschte Erweiterung der rechtlichen Gestal- tungsmöglichkeiten, die im Gesellschaftsrecht bekanntlich durch die geschlossene Zahl der zur Verfügung gestellten Ge- sellschaftsformen eingeschränkt ist. Im weitern könnten solche Stiftungen auch als geeignetes In- strument gegen unfreundliche Uebernahmen verwendet wer- den. Der Bundesrat ist allerdings der Meinung, dass das Pro- blem der unfreundlichen Uebernahmen vor allem in einem künftigen Börsengesetz angemessene Lösungen finden muss. Angesichts dieser gegensätzlichen Meinungen wäre allenfalls eine Kompromisslösung in Betracht zu ziehen: Zulassung von Stiftungen mit wirtschaftlichem Zweck, wobei diese analog den kirchlichen und den Familienstiftungen von der staatli- chen Aufsicht auszunehmen wären. Wenig sinnvoll wäre ver- mutlich auch ein Verbot von Mehrheitsbeteiligungen einer Stif- tung an einem wirtschaftlichen Unternehmen, denn Stiftungen mit ideellem Zweck, die direkt ein wirtschaftliches Unterneh- men betreiben, kommen bereits heute häufig vor, etwa bei Spi- tälern, Schulen und Heimen aller Art. Unter diesen Umständen drängt sich nach Meinung des Bun- desrates auf, die Motion von Herrn Ständerat Iten in ein Postu- lat umzuwandeln. Der Bundesrat wird damit in die Lage ver- setzt, diese ganz kontroverse Frage, die ich Ihnen kurz darstel- len durfte, gründlich und umfassend zu prüfen, ohne sich be- reits im jetzigen Zeitpunkt auf ein generelles Verbot der Stiftun- gen mit wirschaftlichem Zweck festlegen zu müssen. Neben diesem Hauptpunkt bestehen einige weitere Revisi- onspostulate auf dem Gebiete des Stiftungsrechts, die gleich- zeitig überprüft werden müssten. Es geht im wesentlichen darum, das Zivilgesetzbuch an die heutige Praxis der Auf- sichts- und Registerbehörden anzupassen. So wären z. B. die in der Praxis ausgeübten Aufsichtsmittel im Zivilgesetzbuch ausdrücklich zu nennen und der Aufsichtsbehörde die ent- sprechenden verfahrensrechtlichen Behelfe auch ausdrück- lich zur Verfügung zu stellen, z. B. Verhinderung der Grün- dung einer rechtswidrigen aufsichtspflichtigen Stiftung durch Verfügung der Aufsichtsbehörde beziehungsweise Beschwer- delegitimation der Aufsichtsbehörde gegen eine bereits er- folgte Gründung. Ferner sollte die heute übliche erleichterte Abänderung des Stiftungszweckes legalisiert werden. Aus all diesen Gründen beantragt Ihnen der Bundesrat, die Motion in ein Postulat umzuwandeln. Iten: Ich danke Herrn Bundesrat Koller sehr für die ausführli- che Darlegung der Problematik. Er anerkennt die Mängel, die ich aufgezeigt habe, und er hat mir auch versichert, dass der Bundesrat das Problem in den Griff bekommen will. Ich bin einverstanden mit der Umwandlung in ein Postulat. Ueberwiesen als Postulat- Transmis comme postulat #ST# 89.496 Postulat Miville Bundesempfangsstellen für Flüchtlinge Centres d'accueil des réfugiés Wortlaut des Postulates vom 13. Juni 1989 Im Hinblick auf die Flüchtlingsempfangsstelle Basel haben sich wiederholt Schwierigkeiten ergeben. Am Dienstag, 3. April 1989, stand gegen 16.00 Uhr eine türki- sche Familie mit zwei Kindern vor der Empfangsstelle Bässler- gut. Dazu gesellten sich noch zwei Tamilen. Auf einem Schild- chen stand «Empfangsstelle geschlossen». Die nötigen Plätze für eine Nacht müssten privat beschafft werden. Aehnliches er- eignete sich am Mittwoch vor Ostern, als fünf Tamilen hilflos vor der geschlossenen Empfangsstelle standen. Als Anfang September 1988 die neu zureisenden Asylbewer- ber von der überfüllten Empfangsstelle Basel nicht mehr frist- gerecht auf die Kantone verteilt werden konnten, müssten vom Kanton Basel-Stadt in einer Blitzaktion Unterkünfte, Verpfle- gung und eine angemessene Betreuung sichergestellt wer- den. Vom 15. September bis 15. Dezember 1988 waren täglich bis zu 500 Personen in einer Notschlafstelle des Zivilschutzes behelfsmässig und unter unbefriedigenden Verhältnissen un- tergebracht, was zu Kritik in den Medien und in der Oeffentlich- keit führte. Schriftwechsel zwischen der verantwortlichen Fürsorgebe- hörde des Kantons Basel-Stadt und dem DFW Hessen erken- nen, dass man beim DFWder Meinung ist, solche Situationen, die sich jederzeit wiederholen können - auch die neue Emp- fangsstelle Bässlergut wird sich in Zeiten grossen Zuspruchs wieder als zu klein erweisen - seien Sache der Kantone, in de- nen sich die Empfangsstellen befinden. Ich ersuche daher den Bundesrat zu prüfen, ob nicht der Bund, bzw. der DFW, gemäss der ihm vom Gesetzgeber (Asyl- verordnung Art. 7 Abs. 1) übertragenen Verantwortung zur Führung von Bundesempfangsstellen ein Konzept vorzulegen habe, das die Unterbringung und Betreuung von Gesuchstel- lern - vor allem in Zeiten grossen Andrangs - sicherstellt. Texte du postulat du 13 juin 1989 Le centre d'accueil des réfugiés de Baie a de nouveau connu des difficultés. En effet, le mardi 3 avril 1989, vers 16 heures, une famille tur- que avec deux enfants, rejointe bientôt par deux Tamouls, at- tendit vainement devant le centre d'accueil de Bässlergut, un écriteau sur la porte indiquant la fermeture du centre. Des par- ticuliers durent ainsi leur trouver un lieu d'hébergement pour la nuit. Un événement similaire, dont furent victimes cinq Ta- mouls, se produisit le mercredi de Pâques. Début septembre 88, lorsque les demandeurs d'asile nouvel- lement arrivés au centre d'accueil de Baie, déjà surpeuplé, ne purent être répartis à temps entre les cantons, le canton de Baie-Ville dut prendre des mesures d'urgence pour assurer leur hébergement, leur entretien et leur assistance. Du 15 sep- tembre au 15 décembre 1988, jusqu'à 500 personnes par jour logèrent dans un dortoir de fortune de la protection civile, à ti- tre de solution temporaire et dans des conditions peu satisfai- santes, ce qui entraîna des critiques de la part des médias et du public. Un échange de lettres entre les services d'assistance sociale responsables du canton de Bàie-Ville et le DAR fit apparaître que le DAR est d'avis que de telles situations, qui peuvent se reproduire atout moment- même le nouveau centre d'accueil de Bässlergut se retrouvera trop petit en période de forte af- fluence - relèvent de la compétence des cantons dans les- quels se trouvent les centres d'accueil. De ce fait, je prie le Conseil fédéral d'examiner si l'autorité fédérale, en l'espèce le DAR, en vertu des pouvoirs qui lui sont conférés par l'ordonnance sur l'asile, article 7, alinéa 1, ne de-</w:t>
      </w:r>
    </w:p>
    <w:p>
      <w:r>
        <w:t>Schweizerisches Bundesarchiv, Digitale Amtsdruckschriften Archives fédérales suisses, Publications officielles numérisées Archivio federale svizzero, Pubblicazioni ufficiali digitali Motion Iten Aenderung des Stiftungsrechts Motion Iten Modification du droit des fondations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02 Séance Seduta Geschäftsnummer 89.389 Numéro d'objet Numero dell'oggetto Datum 19.09.1989 - 08:00 Date Data Seite 435-436 Page Pagina Ref. No</w:t>
      </w:r>
    </w:p>
    <w:p>
      <w:r>
        <w:rPr>
          <w:b/>
        </w:rPr>
        <w:t>E. 20</w:t>
      </w:r>
    </w:p>
    <w:p>
      <w:r>
        <w:t>017 944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