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89.386 vom 19. Juni 1989</w:t>
      </w:r>
    </w:p>
    <w:p>
      <w:r>
        <w:t>Bundesverwaltung, 1989-06-19, DE</w:t>
      </w:r>
    </w:p>
    <w:p>
      <w:r>
        <w:rPr>
          <w:b/>
        </w:rPr>
        <w:t xml:space="preserve">Quelle: </w:t>
      </w:r>
      <w:r>
        <w:t>https://mcp.opencaselaw.ch/entscheid/ch_vb_89.386</w:t>
      </w:r>
    </w:p>
    <w:p>
      <w:r>
        <w:t>FR: CH_VB 89.386 du 19 juin 1989</w:t>
      </w:r>
    </w:p>
    <w:p>
      <w:r>
        <w:t>IT: CH_VB 89.386 del 19 giugno 1989</w:t>
      </w:r>
    </w:p>
    <w:p>
      <w:pPr>
        <w:pStyle w:val="Heading2"/>
      </w:pPr>
      <w:r>
        <w:t>Erwägungen</w:t>
      </w:r>
    </w:p>
    <w:p>
      <w:r>
        <w:rPr>
          <w:b/>
        </w:rPr>
        <w:t>E. 19</w:t>
      </w:r>
    </w:p>
    <w:p>
      <w:r>
        <w:t>Juni 1989 327 Interpellation Onken Von den drei wichtigen Instrumenten, die uns zur Verfügung stehen, nämlich der Verstärkung der Rechtshilfe und der inter- nationalen Amtshilfe unter den Steuerbehörden, der Sorgfalts- pflicht der Banken und den steuerlichen Massnahmen, möchte ich im Rahmen dieser Interpellation nur die Besteue- rung von Fluchtgeldern behandeln. Treuhandgelder und aus- ländische Wertschriften unterliegen bekanntlich nicht der Ver- rechnungssteuer. Es ist deshalb nur allzu verständlich, dass die illegalen Fluchtgelder primär in diese verrechnungssteuer- befreiten Anlagearten fliessen. Würde auf den Erträgen aus- ländischer Anleger ebenfalls eine substantielle Verrechnungs- steuer eingeführt, könnte dies eine nachhaltige Bremswirkung haben. Gleichzeitig müssen mit den Herkunftsländern Dop- pelbesteuerungsabkommen abgeschlossen werden, die dem ausländischen Anleger die Garantie geben, dass er bei ord- nungsgemässer Steuerdeklaration die Verrechnungssteuer zurückerstattet erhält. Diese Lösung ist praktikabel und dazu noch marktgerecht. Sie sollte aber zugegebenermassen, um wirklich zu greifen, inter- national durchgeführt werden. Es bedürfte also einer OECD- Konvention, die den bisherigen Trend bricht, wonach sich die Anlageländer mit eskalierenden Vergünstigungen einen ei- gentlichen Beggar-my-neighbour-Wettbewerb liefern. Warum sollte nicht gerade die Schweiz in der OECD eine solche Initia- tive einbringen? Ein solcher Vorschlag wäre auf alle Fälle einer kohärenten und glaubwürdigen Entschuldungs- und Entwick- lungsstrategie unseres Landes konform. Ein weiterer, ungleich einfacher zu realisierender Vorschlag besteht darin, die statistische Transparenz zu erhöhen und bei der Verrechnungssteuer eine Aufgliederung nach den Her- kunftsländern der Anleger vorzunehmen. Aufgrund der Sorg- faltspflicht der Banken, die vorschreibt, dass der wirtschaftlich Berechtigte identifiziert werden muss, sollte eine solche län- derweise Erfassung eigentlich ohne weiteres durchführbar sein. Schliesslich noch ein Wort zum Vorschlag des südamerikani- schen Oekonomen Carlos Diaz-AIejandro, der angeregt hat, die nicht zurückgeforderten Verrechnungssteuererträge von Anlegern aus der Dritten Welt zweckgebunden für Entschul- dungsmassnahmen einzusetzen. Es ginge dabei also um eine Art Fluchtgeld-Recycling, ein Vorschlag, der auch vom Insti- tute for International Economies aufgegriffen und unterstützt worden ist. Diese Möglichkeit könnte die Schweiz schon jetzt bei den verrechnungssteurpflichtigen Anlagen anwenden. Ich frage den Bundesrat an, ob das nicht eine Möglichkeit ist, die ins Auge gefasst werden sollte. Ich denke, dass dieser zweck- bestimmte Einsatz für Entschuldungsmassnahmen sozusa- gen die Mindestverantwortung ist, die unser Land bei seiner nachgewiesenermassen exponierten Rolle als begehrter Hort für Fluchtgelder wahrnehmen sollte. «Kapitalflucht ist Diebstahl am eigenen Volk», hat der brasilia- nische Erzbischof Dom Helder Camara gesagt. Wir begehen diesen Diebstahl zwar nicht, das ist klar. Aber mit den Dienst- leistungen unseres Finanzplatzes profitieren wir davon, und wir tragen damit - ob wir wollen oder nicht - eine gewisse Mit- verantwortung. Diese Interpellation stellt zwar konkrete, praktische Fragen. Sie wirft jedoch auch eine ethische Dimension auf, der wir uns nicht entziehen können. Bundesrat Stich: Die Frage der Kapitalflucht gibt immer wie- der zu Diskussionen Anlass. Man muss sich doch auch be- wusst sein, welches die Gründe sind. Ich will sie nicht im ein- zelnen aufführen. Aber einen wesentlichen Punkt erfahren Sie sehr rasch, wenn Sie im Jahresbericht der BIZ, der Bank für In- ternationalen Zahlungsausgleich, beispielsweise die Inflati- onsraten von Südamerika lesen. Im Jahr 1988 hatte Argenti- nien eine Inflationsrate von 343 Prozent, Brasilien 582 Prozent, Mexico 114 Prozent, Peru 669 Prozent und die Entwicklungs- länder insgesamt 90 Prozent. Da muss man sich im klaren sein, dass unter solchen Voraus- setzungen die Abwanderung des Kapitals aus den entspre- chenden Ländern vorprogrammiert ist. Wirksame Hilfe kann man hier vermutlich nur schaffen, wenn es diesen Ländern ge- lingt, eine Wirtschaftspolitik zu betreiben, die auch den Einsatz von Kapital im eigenen Land als nützlich und letztlich vielleicht sogar rentabler erscheinen lässt. Aber immerhin müssten Be- dingungen herrschen, dass die Leute nicht riskieren, inner- halb eines Jahres ihr ganzes Geld zu verlieren; sonst hat man vermutlich nie Chancen. Zur Frage der Verwendung der Verrechnungssteuer ist zu sa- gen, dass die Herkunft der Gelder, die der Verrechnungs- steuer unterliegen, nach geltendem Recht für die Erhebung unerheblich ist, das heisst: Wir kennen sie nicht. Sie lässt sich daher ohne eine Aenderung des Gesetzes, allenfalls der Ver- fassung, nicht zur Abwehr von Fluchtgeldern einsetzen. Ihre Fragen kann ich wie folgt beantworten: 1. Die Verrechnungssteuer wird an der Quelle, das heisst beim Schuldner der steuerbaren Leistung, erhoben und von diesem auf den Leistungsempfänger überwälzt. Bei der Erhebung der Verrechnungssteuer erhält der Fiskus somit keine Kenntnis von der Identität der Leistungsempfänger. Die Bank sollte diese Kenntnis haben, aber der Fiskus hat sie nicht. Die Emp- fängertreten nur dann aus ihrer Anonymität heraus, wenn und insoweit sie Antrag auf Rückerstattung der Verrechnungs- steuer stellen. Nun haben aber nur in der Schweiz wohnhafte Menschen sowie Ausländer nach Massgabe der von ihren Wohnsitzstaaten mit der Schweiz abgeschlossenen Doppel- besteuerungsabkommen Anspruch auf Rückerstattung der Verrechnungssteuer, und es bestehen zwischen der Schweiz und Entwicklungsländern bisher nur vereinzelte Doppelbe- steuerungsabkommen. Deshalb sind die Verrechnungs- steuererträge von Anlagen aus Entwicklungsländern nicht be- kannt und können mangels irgendwelcher Anhaltspunkte auch nicht geschätzt werden. 2. In den Bestimmungen über die Verrechnungssteuer fehlt - wie gesagt - eine Rechtsgrundlage zur Erfassung der Her- kunft irgendwelcher Gelder, und auch die Sorgfaltspflichtver- einbarung als privatrechtlicher Vertrag der Banken unter sich kann vom Bunde hiezu nicht beigezogen werden. Im übrigen dient diese Vereinbarung gerade der Abwehr suspekter Gel- der, weshalb jedenfalls die abgewehrten Gelder der Besteue- rung zum vornherein entgehen. 3. Innerhalb der letzten fünf Jahre wurden keine Verrech- nungssteuern an Antragsteller aus Entwicklungsländern zu- rückerstattet. 4. Der Bundesrat hält den Vorschlag, den Reinertrag der Ver- rechnungssteuer von Anlagen aus Entwicklungsländern zweckgebunden für Entschuldungsmassnahmen zu verwen- den, angesichts der tatsächlichen Verhältnisse für wenig er- folgverheissend, ganz abgesehen davon, dass es natürlich dazu einer Verfassungs- und Gesetzesrevision bedürfte. 5. Ein Zusammenhang zwischen Kapital- und Steuerflucht aus Entwicklungsländern einerseits und verrechnungssteuerfreien Erträgnissen von Treuhandanlagen und ausländischen Wert- papieren andererseits ist nicht erwiesen. Die Idee einer OECD- weiten Vereinheitlichung der Verrechnungssteuer ist minde- stens vorderhand zu vage, als dass der Bundesrat sich bereits verbindlich dazu äussern könnte. Ihre Verwirklichung ist zurzeit nicht in Sicht, wenn Sie an die Diskussionen innerhalb der EG und an die Bundesrepublik denken, die die Verrechnungs- steuer von 10 Prozent wieder rückgängig gemacht hat. Onken: Ich bin von der Antwort nicht befriedigt. Ich bin von ihr enttäuscht, weil sie keine Signale gibt, dass man wenigstens dort, wo man unmittelbar etwas tun könnte, bereit ist, gewisse Aenderungen der heutigen Praxis vorzunehmen. Ich bean- trage aber keine Diskussion. Hefti: Kapitalfluchtgelder sind meines Erachtens an sich weder gut noch schlecht. Auf die schlechten Fälle hat Herr Onken hin- gewiesen. Auf der anderen Seite ist Kapitalfluchtzumindest ver- ständlich, wenn sie ausLändern mit schlechterodergarkorrup- ter Regierung oder mit übersetzten Steuern erfolgt. Ich möchte in diesem Zusammenhang auch auf unsere Ent- wicklungshilfe hinweisen, die es öfters zulässt, dass ganz er- hebliche Prozentsätze von unseren Leistungen abgezweigt werden und in die Taschen von Potentaten in Entwicklungs- ländern fliessen. Auch hier könnte man einmal einen Riegel vor- schieben.</w:t>
      </w:r>
    </w:p>
    <w:p>
      <w:r>
        <w:t>Schweizerisches Bundesarchiv, Digitale Amtsdruckschriften Archives fédérales suisses, Publications officielles numérisées Archivio federale svizzero, Pubblicazioni ufficiali digitali Interpellation Onken Verrechnungssteuer und Fluchtgeld Interpellation Onken Impôt anticipé et fuite de capitaux In Amtliches Bulletin der Bundesversammlung Dans Bulletin officiel de l'Assemblée fédérale In Bollettino ufficiale dell'Assemblea federale Jahr 1989 Année Anno Band III Volume Volume Session Sommersession Session Session d'été Sessione Sessione estiva Rat Ständerat Conseil Conseil des Etats Consiglio Consiglio degli Stati Sitzung 09 Séance Seduta Geschäftsnummer 89.386 Numéro d'objet Numero dell'oggetto Datum 19.09.1989 - 18:15 Date Data Seite 325-327 Page Pagina Ref. No</w:t>
      </w:r>
    </w:p>
    <w:p>
      <w:r>
        <w:rPr>
          <w:b/>
        </w:rPr>
        <w:t>E. 20</w:t>
      </w:r>
    </w:p>
    <w:p>
      <w:r>
        <w:t>017 658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