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89.345 vom 23. Juni 1989</w:t>
      </w:r>
    </w:p>
    <w:p>
      <w:r>
        <w:t>Bundesverwaltung, 1989-06-23, DE</w:t>
      </w:r>
    </w:p>
    <w:p>
      <w:r>
        <w:rPr>
          <w:b/>
        </w:rPr>
        <w:t xml:space="preserve">Quelle: </w:t>
      </w:r>
      <w:r>
        <w:t>https://mcp.opencaselaw.ch/entscheid/ch_vb_89.345</w:t>
      </w:r>
    </w:p>
    <w:p>
      <w:r>
        <w:t>FR: CH_VB 89.345 du 23 juin 1989</w:t>
      </w:r>
    </w:p>
    <w:p>
      <w:r>
        <w:t>IT: CH_VB 89.345 del 23 giugno 1989</w:t>
      </w:r>
    </w:p>
    <w:p>
      <w:pPr>
        <w:pStyle w:val="Heading2"/>
      </w:pPr>
      <w:r>
        <w:t>Erwägungen</w:t>
      </w:r>
    </w:p>
    <w:p>
      <w:r>
        <w:rPr>
          <w:b/>
        </w:rPr>
        <w:t>E. 23</w:t>
      </w:r>
    </w:p>
    <w:p>
      <w:r>
        <w:t>juin 1989 gie, passive und aktive Nutzung der Sonnenenergie, Bioener- gie, geothermische Energie, Verbesserung des Wirkungs- grades der Wasserkraftwerke). Auch die Verwendung von Energieträgern mit geringen Luftfremdstoff-Emissionen und die Nutzung der Kernenergie zur Wärme- und Elektrizitätser- zeugung anstelle fossilthermischer Anlagen können dazu bei- tragen, die Luftbelastung zu vermindern. Auf Bundesebene können die beschlossenen bzw. eingeleite- ten Massnahmen im Bereich Energie und im Bereich Luftrein- haltung zur Nutzung des Energiesparpotentials und zur Re- duktion der Luftschadstoffemissionen beitragen. Zu den einzelnen Fragen nimmt der Bundesrat wie folgt Stel- lung: 1. Die Zunahme der COs-Konzentration in der Atmosphäre ist ein globales Problem. Eine Bilanzierung zwischen natürlichen und anthropogenen Emissionsflüssen einzelner Länder ist nicht sinnvoll. Die industrialisierten Länder in Nordamerika und Europa sowie die Sowjetunion, Japan und Australien tra- gen gegenwärtig zu 75 Prozent der anthropogenen COs-Emis- sionen bei. Diese Länder mit ihrem hohen Energieverbrauch und einem Anteil von 25 Prozent an der Weltbevölkerung sind die Hauptverursacher der steigenden COa-Belastung. Für die Schweiz heisst dies beispielsweise, dass sie mit einem Anteil an der Weltbevölkerung von etwa 1 Promille mit rund 2 Promil- len zum weltweiten COa-Ausstoss beiträgt und knapp 4 Pro- mille des statistisch erfassten Energieverbrauchs bean- sprucht. Die Schweiz gehört mit gegen 7 Tonnen COa pro Ein- wohner zu den Ländern mit hohen COa-Emissionen pro Kopf der Bevölkerung. 2. Der jährliche Verbrauch fossiler Energien verursacht in der Schweiz rund 42,5 Millionen Tonnen COa-Emissionen. Im Jahre 1987 verteilten sich (gemäss Bundesamt für Energie- wirtschaft, Gesamtenergiestatistik 1987, SEV-Bulletin Nr. 12/ 1988, und Bundesamt für Umwelt, Wald und Landschaft, Schriftenreihe Umweltschutz Nr. 55 und 76) die Anteile der verschiedenen Verbrauchssektoren wie folgt: COa-Emissionen prozentua- in Mio. Tonnen 1er Anteil Haushalte Industrie/Gewerbe/Landwirt- schaft/Dienstleistungen - Industrie - Gewerbe, Landwirtschaft, Dienstleistungen Verkehr - priv. Personenverkehr - priv. Schwerverkehr - Flugverkehr - öffentlicher Verkehr Total COa-Emission 5,9 7,4 8,7 1,9 3,0 2,3 42,5 Mio t 13,3 31,2% 13,3 31,3% 13,9% 17,4% 15,9 37,5% 20,4 % 4,5 % 7,1 % 5,5 % 100% Die verschiedenen Quellengruppen tragen wie folgt zur Ge- samtemission bei: Industrie/Gewerbe/Landwirtschaft/Dienst- leistungen etwa 1/3, die Haushalte ebenfalls 1/3 und der Ver- kehr über 1/3. Innerhalb des Verkehrs ist der private Strassen- verkehr die grösste Quellengruppe mit einem Anteil von rund</w:t>
      </w:r>
    </w:p>
    <w:p>
      <w:r>
        <w:rPr>
          <w:b/>
        </w:rPr>
        <w:t>E. 25</w:t>
      </w:r>
    </w:p>
    <w:p>
      <w:r>
        <w:t>Prozent. 3. Die COa-Emissionen verlaufen parallel zum Verbrauch fossi- ler Energien. Technische Massnahmen zurCOa-Abscheidung aus dem Abgasstrom und zur COa-Speicherung und -Entsor- gung sind nur beschränkt denkbar, extrem aufwendig und da- mit unwirtschaftlich. Die Reduktionsmöglichkeiten liegen des- halb im Bereich rationeller Energienutzung, der Energieein- sparungen und des Ersatzes fossiler Energien durch nicht- fossile Energien. Priorität müssen aufgrund von Kosten-/Wir- kungsüberlegungen Massnahmen für eine rationelle Energie- nutzung haben. Verschiedene Untersuchungen zeigen, dass die technischen Energiesparmöglichkeiten gross sind: Der durchschnittliche spezifische Energieverbrauch der bestehenden Anlagen, Fahrzeuge und Geräte ist in vielen Anwendungen zwei- bis fünfmal so gross wie der optimale Verbrauch der heute be- kannten energieeffizientesten Technologien. Die realisierba- ren Einsparungen sind geringer als die technischen Potenti- ale, da diese in der Regel nur beim Ersatz der bestehenden In- stallationen genutzt werden können. Wie der Bundesrat in sei- ner Botschaft zur Ausstiegs- und der Moratoriumsinitiative dar- legt, ermittelte die Expertengruppe Energieszenarien (EGES) bei einer starken Politik der rationellen Energieverwendung Einsparungen an Endenergie von 18 Prozent bis zum Jahre 2005 und von 33 Prozent bis zum Jahre 2025 gegenüber einer Politik ohne zusätzliche Sparmassnahmen. Weitere Reduktionsmöglichkeiten lassen sich durch eine Aen- derung der Lebensgewohnheiten mit weniger energieintensi- vem Lebensstil erzielen, die aber eine entsprechende Bereit- schaft der Bevölkerung voraussetzt. Auch beim Ausbau um- weltfreundlicher erneuerbarer Energien ist das technische Po- tential beachtlich, jedoch in der Regel noch nicht wirtschaft- lich. Die Verminderung des Energieverbrauchs und damit auch die Reduktion der COa-Emissionen sind nicht mit einer einzigen Massnahme allein zu erreichen, sondern erfordern zahlreiche einzelne Anstrengungen in jedem Verbrauchssektor. In den verschiedenen Sektoren stehen folgende Massnahmen im Vordergrund: Haushalte (Heizungen, Warmwasserproduktion): -Wärmetechnische Sanierung von bestehenden Gebäuden und Neubauten (verschärfte Normen) - individuelle Heiz- und Warmwasserkostenabrechnung - Optimierung und Wirkungsgradverbesserung der Feuerun- gen, Heizungssysteme und Wassererwärmer Industrie/Gewerbe/Landwirtschaft/Dienstleistungen: - Bessere Nutzung von Prozessenergie - Nutzung der Wärme und Abwärme, zum Beispiel von Indu- strie- und Kehrichtverbrennungsanlagen - verstärkte Nutzung erneuerbarer Energien wie Wasserkraft, Sonnenenergie, Biomasse/Biogas, Holz und Umgebungs- energie Verkehr: - Vermehrte Förderung des öffentlichen Personen- und Güter- verkehrs (z. B. «Bahn 2000» und Neat) - Reduktion des spezifischen Treibstoffverbrauchs - sparsamerer Umgang mit Treibstoff Die Realisierung der aufgezeigten Sparpotentiale erfordert das Bereitstellen zusätzlicher gesetzlicher Instrumente, Inve- stitionen in Energiesparen und Erschliessung erneuerbarer Energien, technische Innovationen, Anstrengungen bei der In- formation, Ausbildung, Forschung und Entwicklung sowie die Bereitschaft der Bevölkerung, ihr Verhalten zu ändern. Der Bundesrat ist der Meinung, dass mit den von ihm beantragten bzw. eingeleiteten Massnahmen im Bereich der Energie (Energieartikel, Energienutzungsbeschluss und Energiege- setz) und des Luftreinhaltekonzeptes ein erheblicher Beitrag zur Energieeinsparung und damit auch zur Reduktion der COa-Emissionen geleistet werden kann. Die Lösung des COa-Problems ist eine globale Aufgabe. Die Schweiz trägt zum weltweit anthropogenen COa-Ausstoss rund 2 Promille bei. Internationale Zusammenarbeit und Massnahmen auf globaler Ebene sind deshalb unabdingbar. Dabei haben die Industriestaaten mit hohem Energiever- brauch pro Kopf der Bevölkerung eine besondere Verantwor- tung. Der Bundesrat ist gewillt, die internationale Zusammen- arbeit zu unterstützen und einen aktiven Beitrag zur Lösung des COa-Problems zu leisten.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Günter CO2-Produktion in der Schweiz Interpellation Günter Production de gaz carbonique en Suisse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89.345 Numéro d'objet Numero dell'oggetto Datum 23.06.1989 - 08:00 Date Data Seite 1173-1174 Page Pagina Ref. No 20 017 533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