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89.323 vom 15. Juni 1989</w:t>
      </w:r>
    </w:p>
    <w:p>
      <w:r>
        <w:t>Bundesverwaltung, 1989-06-15, DE</w:t>
      </w:r>
    </w:p>
    <w:p>
      <w:r>
        <w:rPr>
          <w:b/>
        </w:rPr>
        <w:t xml:space="preserve">Quelle: </w:t>
      </w:r>
      <w:r>
        <w:t>https://mcp.opencaselaw.ch/entscheid/ch_vb_89.323</w:t>
      </w:r>
    </w:p>
    <w:p>
      <w:r>
        <w:t>FR: CH_VB 89.323 du 15 juin 1989</w:t>
      </w:r>
    </w:p>
    <w:p>
      <w:r>
        <w:t>IT: CH_VB 89.323 del 15 giugno 1989</w:t>
      </w:r>
    </w:p>
    <w:p>
      <w:pPr>
        <w:pStyle w:val="Heading2"/>
      </w:pPr>
      <w:r>
        <w:t>Erwägungen</w:t>
      </w:r>
    </w:p>
    <w:p>
      <w:r>
        <w:rPr>
          <w:b/>
        </w:rPr>
        <w:t>E. 15</w:t>
      </w:r>
    </w:p>
    <w:p>
      <w:r>
        <w:t>Juni 1989 315 Interpellation Béguin nous y voient pas, et dans laquelle, reconnaissons-le, nous nous complaisons peut-être. Les structures du vieux monde bougent. L'Europe est en- gagée dans une mutation dont on ne sait encore à quel résul- tat, à quelle forme elle aboutira en définitive. La Suisse parti- cipe à sa manière, selon ce que lui permettent ses institutions, au processus en cours. Elle affirme bien haut sa volonté d'in- tégration, en ajoutant, un ton plus bas, qu'elle entend légitime- ment réserver ses spécificités. Or, il ne suffit pas d'annoncer ses intentions dans les conféren- ces bilatérales ou multilatérales ou à l'occasion des rencon- tres plus feutrées de la diplomatie. Il faut une caisse de réso- nance à notre discours. Au Conseil de l'Europe, nous dispo- sons d'une tribune d'où nous pouvons convaincre nos audi- teurs et interlocuteurs influents, formateurs des opinions, aussi bien dans les chancelleries que dans le grand public. Plus intensément que d'autres, notre pays, en raison des parti- cularismes structurels déjà cités, doit affirmer son européa- nisme, et ce n'est pas le moindre des paradoxes, nous qui sommes géographiquement au centre de l'Europe. Mais voilà, il y a les Douze, qui ont la tranquille assurance de ceux qui font l'Europe; il y a ceux des pays qui courtisent les Douze, sachant qu'ils céderont à terme à la force d'aspiration ou d'attraction de la Communauté et, enfin, le groupe, très mo- deste en nombre, de pays à la recherche d'une autre voie. Il est vrai qu'en Suisse de larges milieux semblent quelque peu obnubilés par un demi-siècle au moins de prospérité, donc de succès commerciaux et financiers. D'où l'impression qu'ils ont -quand ce n'est pas la certitude-que notre dimension écono- mique nous confère et nous conférera encore une compréhen- sion bienveillante de nos partenaires marqués au point de leurs intérêts sonnants et trébuchants. Personnellement, je ne suis pas convaincu de la pérennité de cet état de grâce. Aussi, encore une fois, manifestons-nous, activons-nous là où nous avons l'avantage de pouvoir présenter notre situation, expliquer notre politique, démontrer, par des démarches et des prises de position concrètes, que nous appartenons bel et bien à l'Europe, pas seulement par le fait de la géographie et de l'histoire conjuguées, mais par une association de destins que nous partageons et assumons. Agissons, manifestons- nous par des actes concrets. Nous nous acquittons, ponctuellement j'en suis sûr, du mon- tant de notre contribution au budget du Conseil de l'Europe, montant de l'ordre de 3,7 millions par an. Encore aurions- nous la possibilité de nous engager davantage, par exemple en contibuant à donner au Conseil de l'Europe les moyens qui lui font défaut pour lancer et conduire des projets ponctuels. La Suisse, dans cette perspective, pourrait prendre l'initiative de proposer aux pays-membres la création d'un fonds spécial destiné à des actions particulières, parfaitement étayées et décidées par les instances compétentes. Ainsi, ne verrions- nous pas le Conseil de l'Europe achopper à une question de moyens, comme c'est précisément le cas pour la mise en oeu- vre, rendue aléatoire ou en tout cas retardée, de la Convention européenne pour la prévention de la torture et des peines ou traitements humains ou dégradants, convention née, je vous le rappelle, d'une proposition suisse. C'est dans le dessein d'éviter des retards semblables qu'il y aurait lieu d'instituer un fonds spécial auquel serait invité à contribuer chaque pays-membre. A cette fin, nous proposons d'inscrire au budget de la Confédération telle somme qui pour- rait être engagée, le moment venu, selon les opportunités. Pour le cas où l'idée de la création d'un fonds non intégré au budget de fonctionnement du Conseil de l'Europe ne trouve- rait pas l'agrément d'une majorité des pays-membres, la somme portée à notre propre budget serait utilisable pour faire face aux demandes ponctuelles qui parviennent au Départe- ment fédéral des affaires étrangères, par exemple celles présentées au titre de la Convention de Berne ou encore de la Convention des pays alpins. Ainsi, on vérifiera que l'étude demandée dans notre postulat peut déboucher sur différents scénarios ou applications pour un but identique. Je ne doute pas que nous ayons la volonté de donner à la Suisse la faculté de jouer à Strasbourg un rôle compatible avec la défense de ses intérêts. Notre postulat est destiné à promouvoir une telle dynamique et, subsidiairement, je sou- haite que l'étude demandée puisse conclure à ce que l'ouver- ture du crédit dont il est question ne soit pas différée au budget d'après les années nonante. Donnons au Conseil de l'Europe les moyens d'une politique encore plus dynamique et convenons-en entre nous, ce sera tout à l'avantage de la Suisse. M. Felber, conseiller fédéral: Le Conseil fédéral partage le point de vue de M. Flückiger et accepte son postulat. Les moyens financiers limités du Conseil de l'Europe empê- chent souvent celui-ci de réaliser des projets et nous consta- tons, aujourd'hui déjà, une multiplication des appels aux Etats membres pour verser des contributions volontaires. Au cours de ces derniers mois, de telles contributions ont été requises en faveur des chemins de Saint-Jacques-de-Compostelle, du Comité européen des responsables de la cartographie, des réfugiés irakiens, dans le cadre du fonds de développement social de l'Institut Georges Eckert, pour la recherche interna- tionale sur les manuels scolaires etc. Les sommes nécessai- res sont en général modiques, mais la réalisation de ce qui a été décidé dépend trop souvent de la bonne volonté des Etats qui fixent librement le montant de leur contribution. Nous par- tageons également votre point de vue, Monsieur Flückiger, lorsque vous soulignez que la Suisse pourrait tirer un bénéfice politique de quelques actions ponctuelles, financièrement li- mitées, pour lesquelles il faut se décider relativement rapide- ment. Je vous rappelle cependant que de nombreux pays ne parta- gent pas ce point de vue et ferment les cordons de leur bourse, que le risque dans le cas d'un appui ponctuel à un travail parti- culier du Conseil de l'Europe c'est qu'on nous dise: «vous le supportez seul», ce que naturellement nous ne voulons pas. Nous trouverions bizarre, par exemple, d'être les seuls à sup- porter les frais du Comité contre la torture créé dans le cadre de l'application de la Convention européenne contre la tor- ture. Nous prenons donc note des demandes de M. Flückiger de créer un fonds pour les actions spéciales au Conseil de l'Eu- rope et nous analyserons le postulat qui a été ainsi déposé et que nous acceptons. Ueberwiesen - Transmis #ST# 89.418 Interpellation Béguin Ausfuhr von Kriegsmaterial. Rolle des EDA Exportation de matériel de guerre. Rôle du DFAE Wortlaut der Interpellation vom 16. März 1989 Nach Artikel 11 Absatz 2 Buchstabe b des Bundesgesetzes über das Kriegsmaterial werden keine Ausfuhrbewilligungen erteilt, wenn Grund zur Annahme besteht, dass Kriegsmate- riallieferungen in ein bestimmtes Land die von der Schweiz im internationalen Zusammenleben verfolgten Bestrebungen, insbesondere zur Achtung der Menschenwürde, sowie im Be- reich der humanitären Hilfe oder der Entwicklungshilfe, beein- trächtigen. Gemäss Artikel 12 dieses Gesetzes obliegt es dem Bundesrat zu entscheiden, ob die sogenannte «humanitäre» Bestim- mung eine Ausfuhrbewilligung ausschliesst oder nicht. Vorher bestimmt jedoch das EDA, ob der Fall es verdient, dem Bun- desrat vorgelegt zu werden (Artikel 13 der Verordnung über das Kriegsmaterial).</w:t>
      </w:r>
    </w:p>
    <w:p>
      <w:r>
        <w:t>Schweizerisches Bundesarchiv, Digitale Amtsdruckschriften Archives fédérales suisses, Publications officielles numérisées Archivio federale svizzero, Pubblicazioni ufficiali digitali Postulat Flückiger Sonderbeiträge der Schweiz an den Europarat Postulat Flückiger Contributions spéciales de la Suisse au financement de tâches particulières du Conseil de l'Europe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89.323 Numéro d'objet Numero dell'oggetto Datum 15.06.1989 - 08:00 Date Data Seite 314-315 Page Pagina Ref. No</w:t>
      </w:r>
    </w:p>
    <w:p>
      <w:r>
        <w:rPr>
          <w:b/>
        </w:rPr>
        <w:t>E. 20</w:t>
      </w:r>
    </w:p>
    <w:p>
      <w:r>
        <w:t>017 650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