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89.083 vom 23. Januar 1990</w:t>
      </w:r>
    </w:p>
    <w:p>
      <w:r>
        <w:t>Bundesverwaltung, 1990-01-23, DE</w:t>
      </w:r>
    </w:p>
    <w:p>
      <w:r>
        <w:rPr>
          <w:b/>
        </w:rPr>
        <w:t xml:space="preserve">Quelle: </w:t>
      </w:r>
      <w:r>
        <w:t>https://mcp.opencaselaw.ch/entscheid/ch_vb_89.083</w:t>
      </w:r>
    </w:p>
    <w:p>
      <w:r>
        <w:t>FR: CH_VB 89.083 du 23 janvier 1990</w:t>
      </w:r>
    </w:p>
    <w:p>
      <w:r>
        <w:t>IT: CH_VB 89.083 del 23 gennaio 1990</w:t>
      </w:r>
    </w:p>
    <w:p>
      <w:pPr>
        <w:pStyle w:val="Heading2"/>
      </w:pPr>
      <w:r>
        <w:t>Erwägungen</w:t>
      </w:r>
    </w:p>
    <w:p>
      <w:r>
        <w:rPr>
          <w:b/>
        </w:rPr>
        <w:t>E. 4</w:t>
      </w:r>
    </w:p>
    <w:p>
      <w:r>
        <w:t>Les sièges restants sont répartis en divisant le nombre des votes obtenus par chaque groupe par le nombre de sièges lui ayant été déjà attribués augmenté d'une unité, étant entendu: a. qu'un siège supplémentaire doit être attribué au groupe obtenant le quotient maximum; b. que l'opération est répétée jusqu'à l'attribution de tous les sièges; c. que le groupe qui n'a pas atteint la majorité absolue des votes ne peut obtenir plus de deux sièges; d. que le groupe qui a atteint la majorité absolue des votes, ne peut avoir moins de trois sièges. La modification constitutionnelle résulte d'une initiative populaire. Elle institue notamment un autre mode de répartition des sièges restant au Conseil d'Etat élu au scrutin proportionnel, cette répartition devant se faire à l'avenir selon le système «Hagenbach-Bischoff» (également applicable à la répartition des sièges pour les élections au Conseil national). 132 Conformité au droit fédéral Selon l'article 74, 4e alinéa, de la constitution fédérale, les cantons sont libres de régler comme ils l'entendent le droit de vote dans leur domaine de compétence. Ils doivent toutefois tenir compte de la règle posée à l'article 6,2e alinéa, lettre b, de la constitution fédérale selon laquelle «l'exercice des droits politiques d'après les formes républicaines-représentatives ou démocratiques» doit être assuré. Cette règle s'applique également au mode d'élection du gouvernement cantonal. Le droit fédéral laisse les cantons libres de faire élire le gouvernement par le peuple (Peter Saladin, dans Commentaire de la constitution fédérale, art. 6, n° 62) et d'adopter, pour autant qu'ils se soient décidés en faveur d'une élection par le peuple (ce qui s'est fait dans tous les cantons), le système d'élection de leur choix. La seule exigence posée par le droit fédéral consiste dans ce cas à concilier le système d'élection avec l'article 4 de la constitution fédérale (Peter Saladin, op. cit. n° 73). S'agissant d'un système à la proportionnelle, la modification adoptée ne prête à aucune discussion; le choix des différentes modalités reconnues en matière de répartition des sièges restants relève du domaine de la compétence des cantons en matière d'organisation. La modification n'est donc contraire ni aux dispositions de la constitution fédérale, ni à d'autres dispositions du droit fédéral; il convient dès lors de lui accorder la garantie fédérale. 2 Constitutionnalité En vertu des articles 6 et 85, chiffre 7, de la constitution fédérale, il appartient à l'Assemblée fédérale d'accorder la garantie aux dispositions constitutionnelles des cantons. 33331 151</w:t>
      </w:r>
    </w:p>
    <w:p>
      <w:r>
        <w:t>Arrêté fédéral Projet accordant la garantie fédérale aux constitutions révisées de certains cantons du L'Assemblée fédérale de la Confédération suisse, vu l'article 6 de la constitution; vu le message du Conseil fédéral du 4 décembre 1989X\ arrête: Article premier La garantie fédérale est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