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89.037 vom 13. Juni 1989</w:t>
      </w:r>
    </w:p>
    <w:p>
      <w:r>
        <w:t>Bundesverwaltung, 1989-06-13, DE</w:t>
      </w:r>
    </w:p>
    <w:p>
      <w:r>
        <w:rPr>
          <w:b/>
        </w:rPr>
        <w:t xml:space="preserve">Quelle: </w:t>
      </w:r>
      <w:r>
        <w:t>https://mcp.opencaselaw.ch/entscheid/ch_vb_89.037</w:t>
      </w:r>
    </w:p>
    <w:p>
      <w:r>
        <w:t>FR: CH_VB 89.037 du 13 juin 1989</w:t>
      </w:r>
    </w:p>
    <w:p>
      <w:r>
        <w:t>IT: CH_VB 89.037 del 13 giugno 1989</w:t>
      </w:r>
    </w:p>
    <w:p>
      <w:pPr>
        <w:pStyle w:val="Heading2"/>
      </w:pPr>
      <w:r>
        <w:t>Erwägungen</w:t>
      </w:r>
    </w:p>
    <w:p>
      <w:r>
        <w:rPr>
          <w:b/>
        </w:rPr>
        <w:t>E. 13</w:t>
      </w:r>
    </w:p>
    <w:p>
      <w:r>
        <w:t>juin 1989 tes, sondern der wirkliche Wille der Beteiligten das Entschei- dende sei. Das nimmt der Delegierte für sich in Anspruch, und in diesem Punkt liegt die Hauptdifferenz. Dabei sei noch ein- mal zugestanden: Die Formulierung war unglücklich, und wir werden die entsprechenden Lehren daraus ziehen. Bleibt noch die Divergenz zwischen Ihrer Kommission und dem Bundesrat in bezug auf die Internierung von Herrn Maza. Ihre Kommission macht vor allem geltend, die erste Internie- rung sei ohne Rechtsgrundlage erfolgt. Maza war damals be- reits einige Monate zuvor aus der Schweiz weggewiesen wor- den und anschliessend trotz Einreisesperre wieder illegal ein- gereist. Nachdem befürchtet werden musste, dass er sich ei- ner Ausschaffung erneut entziehen würde, hat der Delegierte diese Internierung auf Grundlage von Artikel 14 Absatz 2 des Anag verfügt, dessen Praxis dem Parlament mit Bundesrats- beschluss vom 17. September 1985 zur Kenntnis gebracht worden war. Diese Praxis hat bekanntlich auch das Bundes- gericht in seinem Entscheid 110.lb.1 geschützt. Bei der zweiten Internierung sind wir uns ja einig, dass damals aufgrund der Aenderungen des Anag eine Rechtsgrundlage gegeben war. Das Departement hat aus diesen Vorgängen im Zusammen- hang mit dem Fall Maza seinerseits die Lehre gezogen. Es war - unter dem Gesichtspunkt des rechtlichen Gehörs - nach der heute geltenden bundesgerichtlichen Rechtsprechung ein Fehler, dass man bei der ersten Internierung nicht auf das Si- cherheitsrisiko von Herrn Maza hingewiesen hat. Dieser Man- gel ist jedoch durch die zweite Internierungsverfügung, die vom Bundesgericht dann geschützt worden ist, eindeutig be- hoben worden. Insofern möchte ich jene Behauptungen klar zurückweisen, diesagen-Frau Fetz hat das gesagt, Herr Zieg- ler hat es gesagt -, das Verfahren im Zusammenhang mit Herrn Maza spotte allen rechtsstaatlichen Grundsätzen. Das Bundesgericht hat dieses Verfahren geschützt. Der einzige Punkt, der nicht zu genügen vermochte, war der, dass der De- legierte und das Departement aus Gründen des Quellenschut- zes nicht schon bei der ersten Internierung auf dieses Sicher- heitsrisiko von Herrn Maza hingewiesen hatten. Das werden wir künftig tun, wobei wir nach der bundesgerichtlichen Recht- sprechung auch künftig nicht die einzelnen Sachverhalte be- nennen müssen, aber immerhin den Tatbestand des Sicher- heitsrisikos. Zum Schluss: Ich möchte hier nicht wiederholen, was ich im Ständerat zur Asylpolitik ausgeführt habe. Es ist uns aber allen klar, dass wir angesichts der starken Zunahme von Asylgesu- chen auch in diesem Jahre - wir werden mit 20 000 bis 50 000 Asylgesuchen konfrontiert sein -vor grossen, ja sehr grossen Vollzugsproblemen stehen. Ich möchte daher auch Sie auffor- dern, jeden an seinem Platz, seinen Beitrag zu einem asylpoli- tischen Konsens in unserm Lande zu leisten. Diesbezüglich tut es mir leid, Herr Nationalrat Rechsteiner: Ich muss Ihre Un- terstellungen klar zurückweisen, wenn Sie mir vorwerfen, ich hätte einerseits zu einem asylpolitischen Konsens aufgerufen, anderseits bereits wieder von militärischen Aufgeboten ge- sprochen, und ich würde auch bereits wieder den Abbau rechtsstaatlicher Garantien in Kauf nehmen. Der Sachverhalt ist doch ganz klar: Ich habe im Ständerat ge- sagt, warum der ßundesrat der Ueberzeugung ist, dass die Voraussetzungen von Artikel 9 Asylgesetz noch nicht gege- ben sind: Weil dort nämlich - und da habe ich die Botschaft des Bundesrates zur zweiten Asylgesetzrevision zitiert - ganz klar gesagt wird, dass Artikel 9 Asylgesetz erst angerufen wer- den kann, wenn Bund und Kantone vor unlösbaren Betreu- ungs- und Vollzugsproblemen stehen. In dieser Botschaft wird auch gesagt, mit Artikel 9 Asylgesetz habe man dem Bundes- rat Aktionsmöglichkeiten geben wollen in einem Zeitpunkt, wo es noch nicht nötig sei, Militär aufzubieten. Das habe ich zitiert. Nun ist es doch wirklich eine billige Unterstellung, wenn man mir hier vorwirft - obwohl ich diese Zitate gebraucht habe, um zu beweisen, dass heute noch kein Notrecht nötig ist -, ich würde bereits wieder von militärischen Aufgeboten sprechen. Zum zweiten Vorwurf, ich würde hier bereits den Abbau rechts- staatlicher Garantien in Kauf nehmen: Meine Damen und Her- ren, alle meine Gespräche, sowohl diejenigen mit dem Uno- Hochkommissar für Flüchtlinge als auch die mit allen zustän- digen Ministern in den westeuropäischen Asylländern, haben eines ergeben: Wir müssen das Asylverfahren unbedingt be- schleunigen. Wir haben heute immer noch eine durchschnitt- liche Dauer des Asylverfahrens von rund zwei Jahren. Ich habe mir das Ziel gesetzt, wir sollten mindestens auf drei bis vier Monate herunterkommen. In der Bundesrepublik Deutschland strebt man bereits ein Asylverfahren von einer Dauer von wenigen Wochen und in Oesterreich von sechs Wo- chen an. Da ist es doch wirklich auch etwas billig, dass Sie - wenn man das einzig Mögliche in dieser schwierigen Situation vorschlägt, nämlich eine ganz entscheidende Beschleuni- gung des Asylverfahrens-gleich vorweg, ohne dass Sie über- haupt konkrete Vorschläge kennen, von einem Abbau rechts- staatlicher Garantien sprechen. So kommen wir nicht weiter! Wenn wir nicht bald vor unlösbaren Asylproblemen stehen wollen, die dann wirklich die Anrufung von Artikel 9 Asylgesetz nötig machen würden, dann brauchte es eben wirklich die Zu- sammenarbeit aller Gutgesinnten, und dazu rufe ich Sie auf. (Beifall) Präsident: Die Geschäftsprüfungskommission beantragt Ih- nen, vom Bericht über die Aufsichtseingaben Maza und Mu- sey Kenntnis zu nehmen. Ein anderer Antrag ist nicht gestellt. Zustimmung-Adhésion #ST# 89.021 Geschäftsbericht des Bundesrates, des Bundesgerichtes und des Eidgenössischen Versicherungsgerichtes 1988 Gestion du Conseil fédéral, du Tribunal fédéral et du Tribunal fédéral des assurances 1988 Fortsetzung - Suite Siehe Seite 840 hiervor - Voir page 840 ci-devant Verkehrs- und Energiewirtschaftsdepartement Département des transports, des communications et de l'énergie Antrag Leuenberger-Solothurn Aufrechterhaltung des folgenden Vorstosses, dessen Ab- schreibung im Rahmen des Geschäftsberichtes beantragt wird: Postulat 86.163 Verbilligte Bahnabonnemente für Studenten Proposition Leuenberger-Soleure Maintenir le postulat ci-après dont le classement est proposé dans le cadre du rapport de gestion: Postulat 86.163 Abonnements ferroviaires a prix réduit pour étudiants M. Couchepin, rapporteur de la section DFTCE: La section de la Commission de gestion chargée d'examiner la gestion du Département fédéral des transports, des communications et de l'énergie a porté son attention sur trois domaines en parti- culier: tout d'abord, les problèmes posés par l'échec de l'arti- cle constitutionnel sur la politique coordonnée des transports; ensuite sur le problème posé par la sécurité des barrages et, troisièmement, nous avons procédé à une inspection auprès de l'Office fédéral de l'air, essentiellement sur l'organisation de SWISSCONTROL.</w:t>
      </w:r>
    </w:p>
    <w:p>
      <w:r>
        <w:t>Schweizerisches Bundesarchiv, Digitale Amtsdruckschriften Archives fédérales suisses, Publications officielles numérisées Archivio federale svizzero, Pubblicazioni ufficiali digitali Aufsichtseingabe Maza und Musey Requêtes Maza et Musey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07 Séance Seduta Geschäftsnummer 89.037 Numéro d'objet Numero dell'oggetto Datum 13.06.1989 - 08:00 Date Data Seite 844-854 Page Pagina Ref. No 20 017 429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