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88.894 vom 6. Oktober 1989</w:t>
      </w:r>
    </w:p>
    <w:p>
      <w:r>
        <w:t>Bundesverwaltung, 1989-10-06, DE</w:t>
      </w:r>
    </w:p>
    <w:p>
      <w:r>
        <w:rPr>
          <w:b/>
        </w:rPr>
        <w:t xml:space="preserve">Quelle: </w:t>
      </w:r>
      <w:r>
        <w:t>https://mcp.opencaselaw.ch/entscheid/ch_vb_88.894</w:t>
      </w:r>
    </w:p>
    <w:p>
      <w:r>
        <w:t>FR: CH_VB 88.894 du 6 octobre 1989</w:t>
      </w:r>
    </w:p>
    <w:p>
      <w:r>
        <w:t>IT: CH_VB 88.894 del 6 ottobre 1989</w:t>
      </w:r>
    </w:p>
    <w:p>
      <w:pPr>
        <w:pStyle w:val="Heading2"/>
      </w:pPr>
      <w:r>
        <w:t>Erwägungen</w:t>
      </w:r>
    </w:p>
    <w:p>
      <w:r>
        <w:rPr>
          <w:b/>
        </w:rPr>
        <w:t>E. 6</w:t>
      </w:r>
    </w:p>
    <w:p>
      <w:r>
        <w:t>Der Bund kann Massnahmen zur Einschränkung der Ein- fuhr von Nahrungsmitteln ergreifen, sofern diese unter Bedin- gungen hergestellt werden, die von schweizerischen Umwelt- und Tierschutzvorschriften erheblich abweichen.</w:t>
      </w:r>
    </w:p>
    <w:p>
      <w:r>
        <w:rPr>
          <w:b/>
        </w:rPr>
        <w:t>E. 7</w:t>
      </w:r>
    </w:p>
    <w:p>
      <w:r>
        <w:t>Bei mengenmässigen Beschränkungen der Einfuhr von Nahrungs- und landwirtschaftlichen Produktionsmitteln ist für die Einfuhrberechtigung soweit möglich die Uebernahme gleichartiger Erzeugnisse inländischer Herkunft massgebend. Gemäss dieser Bestimmung erteilte Einfuhrberechtigungen sind zu befristen.</w:t>
      </w:r>
    </w:p>
    <w:p>
      <w:r>
        <w:rPr>
          <w:b/>
        </w:rPr>
        <w:t>E. 8</w:t>
      </w:r>
    </w:p>
    <w:p>
      <w:r>
        <w:t>Les comptes annuels de la Confédération doivent faire ap- paraître, de manière complète, claire et compréhensible, les dépenses engagées pour la protection de l'agriculture. Mitunterzeichner-Cosignataires: Aregger, Bonny, Bürgi, Bütti- ker, Eppenberger Susi, Fäh, Fischer-Sursee, Früh, Giger, Gros, Gysin, Keller, Kühne, Loretan, Mühlemann, Perey, Petit- pierre, Philipona, Ruckstuhl, Savary-Vaud, Scheidegger, Schnider, Tschuppert, Wanner (24) Schriftliche Begründung - Développement par écrit Der Motionär verzichtet auf eine Begründung und wünscht eine schriftliche Antwort. Schriftliche Stellungnahme des Bundesrates vom 13. Februar 1989 Rapport écrit du Conseil fédéral du 13 février 1989 Der Motionär verlangt eine Revision des Landwirtschaftsge- setzes und nennt in seinem Vorschlag eine Reihe von agrarpo- litischen Zielen, nach denen die Revision auszurichten wäre. Diese Liste enthält ausser unbestrittenen und in unserer land- wirtschaftlichen Gesetzgebung bereits berücksichtigten Zie- len auch verschiedene Punkte, die nicht entscheidungsreif sind. Das trifft insbesondere zu für das Problem einer Deklara- tionspflichl für Nahrungsmittel, den Schutz der Inlandproduk- tion vor Importen, die unter weniger strengen Umwelt- und Tierschutzvorschriften produziert wurden, sowie für die Unter- stützung von Selbsthilfemassnahmen. Diese Fragen - zum Teil sind sie bereits Gegenstand der Bearbeitung - bedürfen vorerst einer sorgfältigen Klärung. Das gilt ebenfalls mit Bezug auf die Funktion von ergänzenden Ausgleichszahlungen. Der Motionär will offenbar allgemeine, auch im Talgebiet gültige Direktzahlungen zum Ausgleich von ungenügenden Produk- tepreisen ausschliessen. Damit greift er jedoch einer Ausein- andersetzung vor, die in vollem Gang ist. Selbst wenn nach Abschluss der laufenden Arbeiten auf die Einführung von all- gemeinen Direktzahlungen verzichtet werden sollte, wäre es im Blick auf die Entwicklungen im Gatt und in der EG und die damit verbundenen möglichen Konsequenzen voreilig, sol- che Massnahmen im Gesetz von vornherein auszuklammern. Aus diesen Gründen sollte der Vorstoss nicht als Motion, son- dern als Postulat überwiesen werden. Sobald in den bisher of- fenen Fragen konkrete Schlüsse vorliegen und sich daraus ein entsprechender Handlungsbedarf einstellt, wird der Bundes- rat dem Parlament die notwendigen Gesetzesänderungen vorschlagen.</w:t>
      </w:r>
    </w:p>
    <w:p>
      <w:r>
        <w:t>6. Oktober 1989 N 1715 Motion Segond Schriftliche Erklärung des Bundesrates Déclaration écrite du Conseil fédéral Der Bundesrat beantragt, die Motion in ein Postulat umzuwan- deln. Ueberwiesen als Postulat- Transmis comme postulat #ST# 89.448 Motion Segond Dringliche Massnahmen zur Rettung der Elefanten Mesures d'urgence pour la sauvegarde des éléphants Wortlaut der Motion vom 5. Juni 1989 Da Elfenbein sehr gefragt ist, werden Elefanten herdenweise abgeschlachtet. Die Zahl der afrikanischen Elefanten zum Bei- spiel hat sich innerhalb von 10 Jahren um die Hälfte vermin- dert. Der Bundesrat wird deshalb beauftragt, sich den Bemü- hungen der internationalen Gemeinschaft zum Schutz der Ele- fanten anzuschliessen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