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88.731 vom 16. Dezember 1988</w:t>
      </w:r>
    </w:p>
    <w:p>
      <w:r>
        <w:t>Bundesverwaltung, 1988-12-16, DE</w:t>
      </w:r>
    </w:p>
    <w:p>
      <w:r>
        <w:rPr>
          <w:b/>
        </w:rPr>
        <w:t xml:space="preserve">Quelle: </w:t>
      </w:r>
      <w:r>
        <w:t>https://mcp.opencaselaw.ch/entscheid/ch_vb_88.731</w:t>
      </w:r>
    </w:p>
    <w:p>
      <w:r>
        <w:t>FR: CH_VB 88.731 du 16 décembre 1988</w:t>
      </w:r>
    </w:p>
    <w:p>
      <w:r>
        <w:t>IT: CH_VB 88.731 del 16 dicembre 1988</w:t>
      </w:r>
    </w:p>
    <w:p>
      <w:pPr>
        <w:pStyle w:val="Heading2"/>
      </w:pPr>
      <w:r>
        <w:t>Erwägungen</w:t>
      </w:r>
    </w:p>
    <w:p>
      <w:r>
        <w:rPr>
          <w:b/>
        </w:rPr>
        <w:t>E. 16</w:t>
      </w:r>
    </w:p>
    <w:p>
      <w:r>
        <w:t>décembre 1988 La commune de Goumoens-la-Ville a été informée par l'an- cien propriétaire de la parcelle No 168 sur ses intentions de vendre son domaine. On ne peut déduire du fait que la Confédération a conclu un acte de vente, approuvé d'ail- leurs par les instances cantonales compétentes, qu'elle manque d'estime envers cette corporation de droit public. De manière générale, l'acquisition ou la poursuite de l'utili- sation actuelle de terrains par la Confédération ne nécessite pas une coordination avec l'Office fédéral de l'aménage- ment du territoire. En revanche, une coordination avec le service cantonal de l'aménagement du territoire est souhai- table, lorsque l'utilisation prévue n'est pas conforme à l'af- fectation de la zone. Une telle coordination ne s'imposait pas dans e cas particulier. L'Office fédéral de l'aménagement du territoire devrait être entendu lorsque, pour des raisons relevant de l'aménage- ment du territoire, aucun accord n'a pu être trouvé avec le canton. Il est appelé à se prononcer en outre lorsque les projets de la Confédération ont des effets importants sur l'utilisation du sol ou l'occupation du territoire (art. 18 OAT). Mis à part quelques cas particuliers, l'acquisition ou la poursuite de l'utilisation actuelle de terrains par la Confédé- ration peut se faire sans problème, d'entente avec les pro- priétaires concernés et les instances cantonales et commu- nales compétentes. Präsident: Der Interpellant ist von der Antwort des Bundes- rates nicht befriedigt. #ST# 88.741 Interpellation Fischer-Seengen Stellung des Kantons Aargau im Bund Rôle dévolu au canton d'Argovie au sein de la Confédération Wortlaut der Interpellation vom 4. Oktober 1988 1. Ist der Bundesrat auch der Auffassung, dass der Bund bisher die Standortgunst des Kantons Aargau für die Plazie- rung von Institutionen des Bundes zu wenig genutzt hat? 2. Ist der Bundesrat bereit, der Bedeutung des Kantons Aargau dadurch Rechnung zu tragen, dass er bei nächster Gelegenheit eine bedeutende eidgenössische Institution in diesem Kanton ansiedelt? 3. Welche anderen Möglichkeiten sieht der Bundesrat, um die Stellung des Kantons Aargau im Bund seiner Bevölke- rungszahl und seiner wirtschaftlichen Bedeutung entspre- chend zu verbessern? 4. Wie gedenkt der Bundesrat der Enttäuschung im Kanton Aargau zu begegnen, die sich in der Folge des Kaiseraugst- Debakels und anderer für den Kanton Aargau negativer Entwicklungen breitmacht? Texte de l'interpellation du 4 octobre 1988 1. Le Conseil fédéral est-il également d'avis que la Confédé- ration n'a jusqu'à présent que trop peu exploité les avan- tages offerts par le canton d'Argovie dans l'implantation d'institutions fédérales? 2. Le Conseil fédéral est-il prêt à considérer l'importance du canton d'Argovie en établissant, à la première occasion, une importante institution fédérale dans ce canton? 3. Quelles autres possibilités le Conseil fédéral voit-il de renforcer le rôle dévolu au canton d'Argovie au sein de la Confédération, eu égard au nombre de ses habitants et à son importance économique? 4. Comment le Conseil fédéral entend-il faire face à la déception suscitée dans le canton d'Argovie suite à la débâ- cle de Kaiseraugst et à d'autres événements aux consé- quences négatives pour le canton d'Argovie? Mitunterzeichner - Cosignataires: Fischer-Hägglingen, Humbel, Keller, Loretan, Mauch Rolf, Müller-Wiliberg, Rei- mann Maximilian, Rüttimann (8) Schriftliche Begründung - Développement par écrit Der Kanton Aargau hat sich seit der Gründung unseres Bundesstaats stets bundestreu verhalten und namhaft zur Erfüllung der Bundesaufgaben beigetragen. Er hat ohne Widerspruch Hand geboten zur Realisierung zentraler Infra- struktu ran lagen von nationalem Interesse au': seinem Gebiet, wie Nationalstrassen, Waffenplätze, Rangierbahn- höfe, Wasser- und Kernkraftwerke usw. Diese an sich selbst- verständliche Feststellung ist an dieser Stelle deshalb zu machen, weil ein solches Verhalten in letzter Zeit nicht mehr für alle Kantone selbstverständlich ist. Die um sich greifende Tendenz einzelner Kantone und Regionen, sich zu weigern, gewisse von ihnen im Landesin- teresse erwartete Leistungen zu erbringen oder _asten zu übernehmen und dies zum Teil noch in ihren Kantonsverfas- sungen zu verankern, hat in anderen Kantonen, für die «Bundestreue» noch keine leere Worthülse ist, Verärgerung und Frustration ausgelöst. Im Kanton Aargau sind es vor allem die Verfassungsbestimmungen Basel-Landschaft und Genf, mit denen sich diese Kantone weigern, auf ihrem Kantonsgebiet und in ihrer Nachbarschaft Kerna.ilagen zu akzeptieren, die auf Unverständnis stossen, nachdem im Aargau und in unmittelbarer Nachbarschaft vier der fünf schweizerischen Kernkraftwerke erstellt werden konnten. Zur Verschärfung der Situation im Kanton Aargau hat die jüngste Entwicklung um das Kernkraftprojekt Kaiseraugst beigetragen. Nicht nur hat regionaler Egoismus den Sieg über nationale Interessen davongetragen; vielmehr trägt der Aargau, der aktiv zur Realisierung dieses zur Stromversor- gung unseres Landes bedeutsamen Werks beitragen wollte, nun auch noch einen finanziellen Schaden, während andere Kantone ihr unsolidarisches Verhalten insofern belohnt sehen, als sie ohne finanzielle Konsequenzen aus der Affäre hervorgehen. Zahlreiche Reaktionen aus dem Aargau, darunter auch Stel- lungnahmen des Regierungsrats und Vorstösse irn Grossen Rat, zeigen, dass man in diesem Kanton nicht mehr gewillt ist, solche Entscheide widerspruchslos hinzunehmen. Es wird des Einsatzes aller besonnenen Kräfte bedürfen, um Reaktionen zu verhindern, welche die Lösung von Aufgaben im nationalen Interesse künftig wesentlich erschv/eren wür- den. Zu denken ist vor allem an «Bahn 2000» un j Neat, an Entsorgungseinrichtungen, militärische Anlagen und Kraft- werke. Der Bund ist aufgerufen, seinerseits Beiträge zur Lösung dieser Problematik zu leisten. Dabei kann es nicht darum gehen, einzelnen Kantonen und Regionen kurzfristige Vor- teile zu verschaffen, die rechtlich erst noch auf schwachen Füssen stehen würden. Vielmehr geht es vor allem beim Kanton Aargau darum, diesem Stand seitens dos Bundes nicht nur dauernd Lasten aufzubürden, sondern gelegent- lich auch Leistungen zukommen zu lassen, die eine echte Aufwertung bedeuten und den Willen des Zentralstaats dokumentieren, diesen grossen Gliedstaat in seiner Bedeu- tung zu anerkennen. Dieser Haltung kann Glaubwürdigkeit verliehen werden, wenn in naher Zukunft eine bsdeutende Institution des Bundes im Aargau angesiedelt wird, wofür auch dessen Standortgunst spricht. Zu denken ist beispiels- weise an die Dezentralisierung einzelner Abteilungen der ETH aus der Agglomeration Zürich in den Aargau, zumal die technologische Entwicklung ohnehin die Errichtung neuer Institute erfordert, sofern wir den Anschluss international nicht verpassen wollen. Schriftliche Stellungnahme des Bundesrates vom 28. November 1988 Rapport écrit du Conseil fédéral du 28 novembre 1988 1. Grundsätzliches Der Bundesrat anerkennt die grossen Leistungen, die der Kanton Aargau, insbesondere auf dem Energi€isektor, im nationalen Interesse erbringt. Infolge des föderalistischen</w:t>
      </w:r>
    </w:p>
    <w:p>
      <w:r>
        <w:t>Schweizerisches Bundesarchiv, Digitale Amtsdruckschriften Archives fédérales suisses, Publications officielles numérisées Archivio federale svizzero, Pubblicazioni ufficiali digitali Interpellation Ruffy Immobilienkäufe. Koordinierte Politik des Bundes Interpellation Ruffy Transactions immobilières. Politique coordonnée de la Confédération In Amtliches Bulletin der Bundesversammlung Dans Bulletin officiel de l'Assemblée fédérale In Bollettino ufficiale dell'Assemblea federale Jahr 1988 Année Anno Band IV Volume Volume Session Wintersession Session Session d'hiver Sessione Sessione invernale Rat Nationalrat Conseil Conseil national Consiglio Consiglio nazionale Sitzung 15 Séance Seduta Geschäftsnummer 88.731 Numéro d'objet Numero dell'oggetto Datum 16.12.1988 - 08:00 Date Data Seite 1951-1952 Page Pagina Ref. No</w:t>
      </w:r>
    </w:p>
    <w:p>
      <w:r>
        <w:rPr>
          <w:b/>
        </w:rPr>
        <w:t>E. 20</w:t>
      </w:r>
    </w:p>
    <w:p>
      <w:r>
        <w:t>017 000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