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88.580 vom 16. Dezember 1988</w:t>
      </w:r>
    </w:p>
    <w:p>
      <w:r>
        <w:t>Bundesverwaltung, 1988-12-16, DE</w:t>
      </w:r>
    </w:p>
    <w:p>
      <w:r>
        <w:rPr>
          <w:b/>
        </w:rPr>
        <w:t xml:space="preserve">Quelle: </w:t>
      </w:r>
      <w:r>
        <w:t>https://mcp.opencaselaw.ch/entscheid/ch_vb_88.580</w:t>
      </w:r>
    </w:p>
    <w:p>
      <w:r>
        <w:t>FR: CH_VB 88.580 du 16 décembre 1988</w:t>
      </w:r>
    </w:p>
    <w:p>
      <w:r>
        <w:t>IT: CH_VB 88.580 del 16 dicembre 1988</w:t>
      </w:r>
    </w:p>
    <w:p>
      <w:pPr>
        <w:pStyle w:val="Heading2"/>
      </w:pPr>
      <w:r>
        <w:t>Erwägungen</w:t>
      </w:r>
    </w:p>
    <w:p>
      <w:r>
        <w:rPr>
          <w:b/>
        </w:rPr>
        <w:t>E. 1</w:t>
      </w:r>
    </w:p>
    <w:p>
      <w:r>
        <w:t>Sind die Flugzeugexporte der Pilatus-Werke nach Burma mit der Exportrisikogarantie staatlich gefördert worden?</w:t>
      </w:r>
    </w:p>
    <w:p>
      <w:r>
        <w:rPr>
          <w:b/>
        </w:rPr>
        <w:t>E. 2</w:t>
      </w:r>
    </w:p>
    <w:p>
      <w:r>
        <w:t>Teilt der Bundesrat die Ansicht, dass ganz generell der Export von direkt militärisch einsetz- und leicht umrüstba- ren Leichtflugzeugen den Grundsätzen der schweizerischen Entwicklungspolitik widerspricht und demzulolge die Gewährung der ERG für ärmere EntwicklungslEinder von Gesetzes wegen verweigert werden muss?</w:t>
      </w:r>
    </w:p>
    <w:p>
      <w:r>
        <w:rPr>
          <w:b/>
        </w:rPr>
        <w:t>E. 3</w:t>
      </w:r>
    </w:p>
    <w:p>
      <w:r>
        <w:t>Gibt es ERG-Richtlinien, oder ist es zumindest Praxis, beim Export von zivilen Gütern, deren militärische Verwen- dung eindeutig ist (z. B. Aluminiumlieferungen nach Iran), auf die Förderung durch die ERG zu verzichten?</w:t>
      </w:r>
    </w:p>
    <w:p>
      <w:r>
        <w:rPr>
          <w:b/>
        </w:rPr>
        <w:t>E. 4</w:t>
      </w:r>
    </w:p>
    <w:p>
      <w:r>
        <w:t>Ist der Bundesrat der Ansicht, dass der Abstimmungs- nachweis gemäss Artikel 2 RPG resp. RPV und die Interes- senabwägung gemäss Artikel 24 RPG auch im kantonalen Konzessionsverfahren sachgerecht und unter Beachtung der Vorgaben des Bundes durchgeführt werden können, oder wird er vom Kanton ein separates Baubewilligungsver- fahren verlangen, damit die Anliegen der Raumplanung gemäss Artikel 24 RPG erfasst werden können?</w:t>
      </w:r>
    </w:p>
    <w:p>
      <w:r>
        <w:rPr>
          <w:b/>
        </w:rPr>
        <w:t>E. 5</w:t>
      </w:r>
    </w:p>
    <w:p>
      <w:r>
        <w:t>Ist der Bundesrat bereit, die Anordnung einer Nutzungs- zone nach Artikel 37 RPG zu prüfen, falls der Abstimmungs- nachweis nicht oder nicht den Bundeserlassen oder dem genehmigten Richtplan entsprechend erbracht wird?</w:t>
      </w:r>
    </w:p>
    <w:p>
      <w:r>
        <w:t>Schweizerisches Bundesarchiv, Digitale Amtsdruckschriften Archives fédérales suisses, Publications officielles numérisées Archivio federale svizzero, Pubblicazioni ufficiali digitali Interpellation Bär Leichtflugzeugexporte nach Burma. Exportrisikogarantie Interpellation Bär Avions légers vendus à la Birmanie. Garantie contre les risques à l'exportation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88.580 Numéro d'objet Numero dell'oggetto Datum 16.12.1988 - 08:00 Date Data Seite 1970-1971 Page Pagina Ref. No 20 017 014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