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88.330 vom 23. Juni 1988</w:t>
      </w:r>
    </w:p>
    <w:p>
      <w:r>
        <w:t>Bundesverwaltung, 1988-06-23, DE</w:t>
      </w:r>
    </w:p>
    <w:p>
      <w:r>
        <w:rPr>
          <w:b/>
        </w:rPr>
        <w:t xml:space="preserve">Quelle: </w:t>
      </w:r>
      <w:r>
        <w:t>https://mcp.opencaselaw.ch/entscheid/ch_vb_88.330</w:t>
      </w:r>
    </w:p>
    <w:p>
      <w:r>
        <w:t>FR: CH_VB 88.330 du 23 juin 1988</w:t>
      </w:r>
    </w:p>
    <w:p>
      <w:r>
        <w:t>IT: CH_VB 88.330 del 23 giugno 1988</w:t>
      </w:r>
    </w:p>
    <w:p>
      <w:pPr>
        <w:pStyle w:val="Heading2"/>
      </w:pPr>
      <w:r>
        <w:t>Erwägungen</w:t>
      </w:r>
    </w:p>
    <w:p>
      <w:r>
        <w:rPr>
          <w:b/>
        </w:rPr>
        <w:t>E. 1</w:t>
      </w:r>
    </w:p>
    <w:p>
      <w:r>
        <w:t>Ist er der Ansicht, dass der Gebrauch eines NATEL-Tele- fons rechtlich mit den Artikeln 26 und 31 des SVG zu ver- einbaren ist?</w:t>
      </w:r>
    </w:p>
    <w:p>
      <w:r>
        <w:rPr>
          <w:b/>
        </w:rPr>
        <w:t>E. 2</w:t>
      </w:r>
    </w:p>
    <w:p>
      <w:r>
        <w:t>Meint er nicht, die zu erwartende Verbreitung des Autote- lefons könne die Zahl der Verkehrsunfälle, die auf Unauf- merksamkeit zurückzuführen sind (letztes Jahr machten sie rund einen Fünftel der 76 000 Unfälle aus), stark erhöhen?</w:t>
      </w:r>
    </w:p>
    <w:p>
      <w:r>
        <w:rPr>
          <w:b/>
        </w:rPr>
        <w:t>E. 3</w:t>
      </w:r>
    </w:p>
    <w:p>
      <w:r>
        <w:t>Hält er es nicht für angezeigt, genau festzulegen, unter welchen Voraussetzungen ein Autotelefon benützt werden darf?</w:t>
      </w:r>
    </w:p>
    <w:p>
      <w:r>
        <w:rPr>
          <w:b/>
        </w:rPr>
        <w:t>E. 4</w:t>
      </w:r>
    </w:p>
    <w:p>
      <w:r>
        <w:t>Les expériences faites à ce jour ne laissent nullement présager que l'on doive s'attendre à une recrudescence des accidents de la route en raison de l'utilisation accrue des radiotéléphones. Il semble, en effet, que les usagers fassent preuve d'un certain sens des responsabilités dans l'emploi de ces appareils et qu'ils observent bien les instructions d'utilisation établies par les PTT.</w:t>
      </w:r>
    </w:p>
    <w:p>
      <w:r>
        <w:rPr>
          <w:b/>
        </w:rPr>
        <w:t>E. 5</w:t>
      </w:r>
    </w:p>
    <w:p>
      <w:r>
        <w:t>Welche Bedeutung wird dem Verfahren beigemessen, das in den schweizerischen Botschaften im Ausland durchge- führt wird?</w:t>
      </w:r>
    </w:p>
    <w:p>
      <w:r>
        <w:rPr>
          <w:b/>
        </w:rPr>
        <w:t>E. 6</w:t>
      </w:r>
    </w:p>
    <w:p>
      <w:r>
        <w:t>Welche Vollzugsanweisungen sind in den Kantonen erteilt worden? (Diese scheinen sehr unterschiedliche Fol- gerungen gezogen zu haben)</w:t>
      </w:r>
    </w:p>
    <w:p>
      <w:r>
        <w:rPr>
          <w:b/>
        </w:rPr>
        <w:t>E. 7</w:t>
      </w:r>
    </w:p>
    <w:p>
      <w:r>
        <w:t>Lorsque les conditions d'entrée en Suisse ne sont pas remplies, la représentation suisse prononce en général un refus informel. Le requérant peut toutefois exiger qu'une décision formelle de refus lui soit signifiée par l'entremise de l'Office fédéral des étrangers. Un recours pourra alors être formé contre cette décision auprès du DFJP. L'hôte domicilié en Suisse a aussi qualité pour recourir.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Aguet Touristen aus der Dritten Welt und aus den Oststaaten. Restriktionen Interpellation Aguet Touristes du tiers monde ou des pays de l'Est. Restrictions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88.330 Numéro d'objet Numero dell'oggetto Datum 23.06.1988 - 08:00 Date Data Seite 929-930 Page Pagina Ref. No 20 016 467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