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88.304 vom 16. Dezember 1988</w:t>
      </w:r>
    </w:p>
    <w:p>
      <w:r>
        <w:t>Bundesverwaltung, 1988-12-16, DE</w:t>
      </w:r>
    </w:p>
    <w:p>
      <w:r>
        <w:rPr>
          <w:b/>
        </w:rPr>
        <w:t xml:space="preserve">Quelle: </w:t>
      </w:r>
      <w:r>
        <w:t>https://mcp.opencaselaw.ch/entscheid/ch_vb_88.304</w:t>
      </w:r>
    </w:p>
    <w:p>
      <w:r>
        <w:t>FR: CH_VB 88.304 du 16 décembre 1988</w:t>
      </w:r>
    </w:p>
    <w:p>
      <w:r>
        <w:t>IT: CH_VB 88.304 del 16 dicembre 1988</w:t>
      </w:r>
    </w:p>
    <w:p>
      <w:pPr>
        <w:pStyle w:val="Heading2"/>
      </w:pPr>
      <w:r>
        <w:t>Erwägungen</w:t>
      </w:r>
    </w:p>
    <w:p>
      <w:r>
        <w:rPr>
          <w:b/>
        </w:rPr>
        <w:t>E. 16</w:t>
      </w:r>
    </w:p>
    <w:p>
      <w:r>
        <w:t>décembre 1988 Andererseits soll der Bund alle öffentlichen Transportunter- nehmungen, welche im Regional- und insbesondere im Agglomerationsverkehr gleichartige Leistungen erbringen, gleichbehandeln. Diese Forderung läuft darauf hinaus, dass der konzessionierte Regional- und Agglomerationsverkehr inklusive städtische Verkehrsbetriebe und PTT-Automobil- dienste vermehrt bzw. neu in den Genuss von Bundesbeiträ- gen kommen soll. 2. Gemäss Bundesverfassung ist das Strassenwesen, also der Bau, Betrieb und Unterhalt von Strassen, im allgemei- nen Sache der Kantone und Gemeinden. Einzig die Natio- nalstrassen sind ein Gemeinschaftswerk von Bund und Kan- tonen. An die Aufwendungen, die die Kantone für ihr Stras- senwesen haben, erhalten sie vom Bund gemäss Bundes- verfassung und Treibstoffzollgesetz (TZG) neben verschie- denen werkgebundenen Beiträgen auch allgemeine, d. h. nicht an die Errichtung oder den Unterhalt bestimmter Werke gebundene Beiträge an die Strassenlasten und für den Finanzausgleich im Strassenwesen. Dabei stehen bedeutende Beträge im Spiel. Im Jahre 1986 erhielten die Kantone unter diesen Titeln gesamthaft 403 Millionen Fran- ken und im Jahre 1987 411 Millionen Franken ausbezahlt. Die Betreffnisse werden ihnen nach einem im TZG und in der Verordnung über die nicht werkgebundenen Treibstoff- zollanteile niedergelegten Verteilschlüssel zugeteilt. Wie die Kantone diese Beträge für ihre eigenen Bedürfnisse und auf die Gemeinden aufteilen, richtet sich nach dem kantonalen Recht. Nach Artikel 4 Absatz 5 des TZG wird der Anteil am Treibstoffzollertrag für Beiträge an die Kosten der dem Motorfahrzeug geöffneten Strassen und den Finanzaus- gleich für jeweils vier Jahre festgelegt; er beträgt minde- stens 12 Prozent der für den Strassenverkehr bestimmten Treibstoffzölle. Die Festlegung erfolgt im Rahmen des Finanzplans. Zurzeit werden den Kantonen über das gesetz- liche Minimum von 12 Prozent hinaus 150 Millionen Fran- ken jährlich ausbezahlt. Dieser Betrag kann so lange ausge- richtet werden, als die aus den zweckgebundenen Treib- stoffzollerträgen gespiesene Rückstellung Strassenverkehr abzubauen ist. Fällt die Rückstellung unter den Stand einer angemessenen Ausgleichsreserve, müssen entweder die Strassenverkehrsausgaben gesenkt oder der Treibstoffzoll- zuschlag erhöht werden. Dabei wird die Kostenunterdek- kung bei den Gemeindestrassen mitzuberücksichtigen sein. Indessen kann der Bund den Kantonen nicht vorschreiben, die nicht werkgebundenen Beiträge an die Gemeinden wei- terzugeben. Er würde damit gegen das föderalistische Prin- zip der Aufgabenteilung zwischen Bund und Kantonen ver- stossen. 3. Was die Gleichbehandlung der öffentlichen Transportun- ternehmen des Regional- und Agglomerationsverkehrs betrifft, so wurde vom Bundesrat verschiedentlich versucht, eine Gleichbehandlung der SBB und der KTU im Regional- verkehr zu erzielen. Das hätte aber vorausgesetzt, dass sich die Kantone auch an der Abgeltung des SBB-Regionalver- kehrs beteiligt hätten. Durch die Mehrleistungen des Bun- des im Zusammenhang mit der Neuregelung der Zweckbin- dung bei den Treibstoffzöllen hätten die Mehraufwendun- gen der Kantone für den regionalen öffentlichen Verkehr ausgeglichen werden können. Indessen scheiterte diese Lösung am Widerstand der Kantone. Der Bundesrat ist jedoch weiterhin bereit, eine derartige Gleichbehandlung zu prüfen. In diesem Sinne hat er bereits mit der Botschaft vom</w:t>
      </w:r>
    </w:p>
    <w:p>
      <w:r>
        <w:rPr>
          <w:b/>
        </w:rPr>
        <w:t>E. 18</w:t>
      </w:r>
    </w:p>
    <w:p>
      <w:r>
        <w:t>November 1987 über die Aenderung des Eisenbahnge- setzes eine Angleichung der Abgeltung der gemeinschaftli- chen Leistungen der konzessionierten Transportunterneh- mungen an die für die SBB geltende Ordnung beantragt. 4. Der Bundesrat prüft die unter Ziffer 2 und 3 angesproche- nen Bereiche nicht zuletzt auch im Lichte der abgelehnten Vorlage über die Koordinierte Verkehrspolitik (KVP) einer- seits und der jetzt in Ausführung befindlichen «Bahn 2000» andererseits. Er hat Verständnis für die Stossrichtung der Motion. In Frage stehen Aenderungen des Treibstoffzollgesetzes und des Eisenbahngesetzes sowie der entsprechenden Ver- ordnungen. Sie sind im Gesamtzusammenhang der anste- henden Verkehrsprobleme im Sinne einer längorfristigen koordinierten Politik zu beurteilen. Sollten sich gesetzliche Aenderungen aufdrängen, wird der Bundesrat die nötige Vorlage wenn möglich noch in dieser Legislaturperiode den eidgenössischen Räten unterbreiten. Schriftliche Erklärung des Bundesrates Déclaration écrite du Conseil fédéral Der Bundesrat beantragt, die Motion in ein Postulat umzu- wandeln. Präsident: Der Bundesrat ist bereit, die Motion ahi Postulat entgegenzunehmen. Die Ueberweisung als Pos'iulat wird bestritten durch Herrn Dreher. Damit ist Diskussion be- schlossen. Verschoben - Renvoyé #ST# 88.471 Motion Martin Paul-René Oeffentlicher Verkehr in Agglomerationen. Bundeshilfe Développement des transports publics d'agglomération. Soutien de la Confédération Wortlaut der Motion vom 13. Juni 1988 Der Bundesrat wird beauftragt, der Bundesversammlung ein Konzept für die Unterstützung von Projekten zum Ausbau des öffentlichen Agglomerationsverkehrs durch den Bund vorzulegen, das sich auf die bestehenden Verfausungsbe- stimmungen stützt. Texte de la motion du 13 juin 1988 Le Conseil fédéral est chargé de présenter à l'Assemblée fédérale un concept de soutien par la Confédération des projets de développement des transports publics dits d'ag- glomération dans le cadre des dispositions constitution- nelles existantes. Mitunterzeichner- Cosignataires: Aguet, Aregger, Béguelin, Bonvin, Brélaz, Cavadini, Cevey, Darbellay, Ducret, Etique, Fehr, Frey Claude, Friderici, Jeanprêtre, Kohler, Loretan, Maître, Martin Jacques, Matthey, Meizoz, Mühlemann, Nabholz, Perey, Petitpierre, Rebeaud, Ruffy, Savary-Vaud, Schmidhalter, Spoerry (29) Schriftliche Begründung - Développement par écrit Le peuple et les cantons suisses viennent de rejetor le projet de politique coordonnée des transports. Ce refus prive la Confédération d'intervenir dans plusieurs secteurs de l'acti- vité de nos transports publics et il convient d'examiner comment les problèmes posés pourront être résolus par d'autres voies et moyens. Un problème d'importance majeure concerne les transports publics d'agglomération. Les transports puolics des grandes villes véhiculent chaque année, sur de courtes distances, 755 millions de voyageurs. Les CFF, à titre de comparaison, en transportent 230 millions, sur du plus lon- gues distances, il est vrai. Le rôle fondamental des trans- ports publics d'agglomération n'est plus à démontrer: il s'accentue avec les problèmes posés par la pollution et le bruit de la circulation privée. De plus, ces transports joueront un rôle toujours plus déter- minant pour l'usage de nos CFF eux-mêmes. C'est par les transports d'agglomération que la clientèle la plus nom- breuse se rendra vers les gares, qu'elle vienne de l'intérieur</w:t>
      </w:r>
    </w:p>
    <w:p>
      <w:r>
        <w:t>Schweizerisches Bundesarchiv, Digitale Amtsdruckschriften Archives fédérales suisses, Publications officielles numérisées Archivio federale svizzero, Pubblicazioni ufficiali digitali Motion Scheidegger Agglomerationsverkehrspolitik Motion Scheidegger Trafic dans les agglomérations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88.304 Numéro d'objet Numero dell'oggetto Datum 16.12.1988 - 08:00 Date Data Seite 1915-1916 Page Pagina Ref. No</w:t>
      </w:r>
    </w:p>
    <w:p>
      <w:r>
        <w:rPr>
          <w:b/>
        </w:rPr>
        <w:t>E. 20</w:t>
      </w:r>
    </w:p>
    <w:p>
      <w:r>
        <w:t>016 953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