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88.235 vom 5. Oktober 1990</w:t>
      </w:r>
    </w:p>
    <w:p>
      <w:r>
        <w:t>Bundesverwaltung, 1990-10-05, DE</w:t>
      </w:r>
    </w:p>
    <w:p>
      <w:r>
        <w:rPr>
          <w:b/>
        </w:rPr>
        <w:t xml:space="preserve">Quelle: </w:t>
      </w:r>
      <w:r>
        <w:t>https://mcp.opencaselaw.ch/entscheid/ch_vb_88.235</w:t>
      </w:r>
    </w:p>
    <w:p>
      <w:r>
        <w:t>FR: CH_VB 88.235 du 5 octobre 1990</w:t>
      </w:r>
    </w:p>
    <w:p>
      <w:r>
        <w:t>IT: CH_VB 88.235 del 5 ottobre 1990</w:t>
      </w:r>
    </w:p>
    <w:p>
      <w:pPr>
        <w:pStyle w:val="Heading2"/>
      </w:pPr>
      <w:r>
        <w:t>Erwägungen</w:t>
      </w:r>
    </w:p>
    <w:p>
      <w:r>
        <w:rPr>
          <w:b/>
        </w:rPr>
        <w:t>E. 5</w:t>
      </w:r>
    </w:p>
    <w:p>
      <w:r>
        <w:t>Oktober 1990 N 1889 Pari. Initiative. Ehegatten von Magistratspersonen zu welchen mindestens ein Rat einen direkten oder indirekten Gegenentwurf beschlossen hat. Diese Zeitspannen zwischen drei und fünf Jahren sollen künftig als Gesamtfristen von der Einreichung der Initiative bis zum Urnengang gelten. Das hat seine Vorteile. Ich möchte drei Beispiele von solchen Urnengängen nennen: Ueber die Stadt-Land-Initiative wurde am 4. Dezember 1988 abgestimmt. Nach der neuen Regelung hätte schon 18 Mo- nate früher darüber abgestimmt werden können. Bei Tempo 130/100 hätten wir eine Vorverlegung von 10 Mo- naten. Ueber das Gewässerschutzgesetz, das noch hängig ist, hätte schon im Herbst 1989 abgestimmt werden müssen. Mit dem Text der Motion sind wir bereits sehr gut angekom- men. Sie haben es gehört: Der Initiant erklärt sich damit zufrie- den, sieht er doch auch sein Anliegen darin vollständig be- rücksichtigt. Herr Fischer-Seengen - mit einem ähnlichen Vorschlag wie Kollege Dünki - wird seinen Vorstoss zurückziehen, wenn die Kommissionsmotion überwiesen wird. Und schliesslich hat auch der Bundesrat zur Kommissionsmo- tion bereits Stellung bezogen. Er wird sie entgegennehmen. Die Kommission beantragt Ihnen daher mit 12 zu 2 Stimmen, der parlamentarischen Initiative keine Folge zu geben, und mit 11 zu 2 Stimmen, ihre Motion zu überweisen. Le président: La commission propose au Conseil national de ne pas donner suite à l'initiative parlementaire, mais de trans- mettre sa motion. M. Dünki se déclare d'accord. Zustimmung - Adhésion #ST# 88.242 Parlamentarische Initiative (Reichling) Erwerbstätigkeit der Ehegatten von Magistratspersonen Initiative parlementaire (Reichling) Activité professionnelle et politique des conjoints de magistrats Kategorie V, Art. 68 GRN - Catégorie V, art. 68 RCN Wortlaut der Initiative vom 8. Dezember 1988 Im Sinne von Artikel 21 des Geschäftsverkehrsgesetzes und Artikel 27 des Ratsreglementes unterbreite ich die folgende parlamentarische Einzelinitiative in der Form einer allgemei- nen Anregung: Die rechtlichen Grundlagen - insbesondere Artikel 31 VwOG und 4 OG - seien dahingehend zu ändern, dass die zulässige wirtschaftliche und politische Tätigkeit der Ehegatten von durch die Bundesversammlung gewählten Magistratsperso- nen geregelt wird. Die neue Regelung soll keine Anwendung finden auf Ehegat- ten von Magistratspersonen, die bereits im Amt sind. Texte de l'initiative du 8 décembre 1988 Conformément à l'article 21 de la loi sur les rapports entre les conseils et à l'article 27 du règlement du Conseil national, je dépose l'initiative parlementaire individuelle suivante, conçue en termes généraux: Les bases légales - en particulier les articles 31 LOA et 4 OJ - doivent être modifiées de manière que l'activité économique et politique admissible des conjoints de magistrats élus par l'Assemblée fédérale soit réglée. La nouvelle réglementation ne doit pas s'appliquer aux con- joints de magistrats déjà en exercice. Herr Blatter unterbreitet im Namen der Kommission den fol- genden schriftlichen Bericht: Wir unterbreiten ihnen hiermit gemäss Artikel 21 ter des Ge- schäftsverkehrsgesetzes den Bericht der vorprüfenden Kom- mission über die von Nationalrat Reichling am 8. Dezember 1988 eingereichte parlamentarische Initiative, welche in der Form einer allgemeinen Anregung eine Regelung der zulässi- gen wirtschaftlichen und politischen Tätigkeit der Ehegatten von durch die Bundesversammlung gewählten Magistratsper- sonen verlangt. Die Kommission hat am 13. September 1989 den Initianten so- wie zwei Experten (die Professoren Jean-François Aubert und Thomas Fleiner) angehört. Schriftliche Begründung des Initianten Es war offensichtlich die Auffassung des Verfassungs- und Ge- setzgebers, dass unsere Magistratspersonen ihr hohes Amt im Dienste der Volksgemeinschaft ausüben können in einem Umfeld, das sie der wirtschaftlichen Sorgen des Alltags ent- hebt. Es sollte ihnen damit ermöglicht werden, ihre volle gei- stige und körperliche Kraft in den Dienst ihres Amtes, d. h. in den Dienst der Allgemeinheit zu stellen. Diese Absicht wird dadurch verwirklicht, dass für die Dauer der Amtstätigkeit jede zusätzliche Tätigkeit als Beamter, Berufs- mann oder Gewerbetreibender untersagt wird, dafür aber ein Gehalt und nach dem Rücktritt vom Amt ein Ruhegehalt aus- gerichtet wird, das dem Amtsträger und seiner Familie ein sor- genfreies und standesgemässes Leben sichern soll. Diese Regelung stammt aus einer Zeit, als den Frauen noch keine politischen Rechte eingeräumt waren und - was für die Beurteilung der heutigen Situation wichtiger ist - die Ehe- frauen praktisch ausnahmslos keine eigene berufliche Tätig- keit ausübten und die sicher häufige Mitarbeit im Gewerbe des Ehemannes mit seiner Wahl zur Magistratsperson automa- tisch zum Erliegen kam. Die Situation hat sich in den letzten Jahrzehnten stark geän- dert. Männer und Frauen verfügen gleichermassen über eine vollständige berufliche Ausbildung, und es gehört zur verbrei- teten Praxis, dass nach dem Eheschluss beide Partner einer milden Familienpflichten vereinbarlichen beruflichen Tätigkeit nachgehen zur Anwendung der erworbenen Berufskennt- nisse und zur Entfaltung der Persönlichkeit. Immer häufiger werden die Mitglieder der Bundesversammlung in Zukunft in die Lage kommen, dass Persönlichkeiten zur Wahl vorge- schlagen werden, deren Ehegattin oder Ehegatte eine selb- ständige berufliche Tätigkeit ausübt. Wenn das heute sicher häufiger eintreten wird, wenn eine Frau zur Wahl vorgeschla- gen wird, so wird sich das Verhältnis in den kommenden Jah- ren rasch verschieben. Diese Entwicklung hat zur Folge, dass bei Weiterführung der selbständigen Erwerbstätigkeit durch den Ehegatten die Ab- sichten des Verfassungsgebers durchkreuzt werden. Interes- senkonflikte zwischen den Anforderungen des Amtes und den Berufsinteressen des Ehegatten, Gefahr der Verwicklung in rufschädigende Vorkommnisse, wirtschaftliche Zwangslagen, Gerichtsfälle, Aufgabe der gemeinsamen Familienwohnung werden nicht ausbleiben. Die Weiterführung der Geschäftstä- tigkeit der Magistratspersonen durch seinen Ehegatten wäre eine krasse Umgehung des Verfassungswillens. Wir erleben seit Monaten die traurigen Auswirkungen eines Eheverhältnisses zwischen einer Magistratsperson - welche am Tag der Einreichung dieser Initiative gerade zur Vizepräsi- dentin des Bundesrates gewählt wurde - und einer Persön- lichkeit mit exponiertem beruflichem Umfeld. Unabhängig vom bis heute ungeklärten Sachverhalt hat diese Angelegen- heit das ganze Schweizervolk und einen weiten Interessen- kreis des Auslandes beschäftigt, Vertrauensschwund in die Behörden, Wut oder Lob für die informierenden Behörden und Mitleid oder Schadenfreude für die Betroffenen ausgelöst. Ein Schaden wird auf jeden Fall zurückbleiben. Der Verzicht auf eine offizielle Regelung für die Erwerbstätig- keit der Ehegatten von Magistratspersonen kann die Wahl- chancen für viele erfolgversprechende Kandidaten, insbeson- dere für Frauen, erheblich schmälern, weil eine Magistratsper-</w:t>
      </w:r>
    </w:p>
    <w:p>
      <w:r>
        <w:t>Schweizerisches Bundesarchiv, Digitale Amtsdruckschriften Archives fédérales suisses, Publications officielles numérisées Archivio federale svizzero, Pubblicazioni ufficiali digitali Parlamentarische Initiative (Dünki) Bundesgesetz über die politischen Rechte. Ergänzung Initiative parlementaire (Dünki) Loi sur les droits politiques. Révision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88.235 Numéro d'objet Numero dell'oggetto Datum 05.10.1990 - 08:00 Date Data Seite 1886-1889 Page Pagina Ref. No 20 019 031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