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88.229 vom 22. Juni 1990</w:t>
      </w:r>
    </w:p>
    <w:p>
      <w:r>
        <w:t>Bundesverwaltung, 1990-06-22, DE</w:t>
      </w:r>
    </w:p>
    <w:p>
      <w:r>
        <w:rPr>
          <w:b/>
        </w:rPr>
        <w:t xml:space="preserve">Quelle: </w:t>
      </w:r>
      <w:r>
        <w:t>https://mcp.opencaselaw.ch/entscheid/ch_vb_88.229</w:t>
      </w:r>
    </w:p>
    <w:p>
      <w:r>
        <w:t>FR: CH_VB 88.229 du 22 juin 1990</w:t>
      </w:r>
    </w:p>
    <w:p>
      <w:r>
        <w:t>IT: CH_VB 88.229 del 22 giugno 1990</w:t>
      </w:r>
    </w:p>
    <w:p>
      <w:pPr>
        <w:pStyle w:val="Heading2"/>
      </w:pPr>
      <w:r>
        <w:t>Erwägungen</w:t>
      </w:r>
    </w:p>
    <w:p>
      <w:r>
        <w:rPr>
          <w:b/>
        </w:rPr>
        <w:t>E. 22</w:t>
      </w:r>
    </w:p>
    <w:p>
      <w:r>
        <w:t>Juni 1990 N 1233 Parlamentarische Initiative (Eggli-Winterthur) dre juridique et la consultation qui s'est achevée de manière positive. 47. La constitutionnalité du projet est établie. Elle a également été confirmée par l'Office fédéral de la justice. La même con- clusion de conformité à la constitution a également été établie par le prof. Dr. iur. Paul Richli, de l'Université de Berne (Der Bund, 9.1.88). 48. Une rapide introduction de la modification de la Loi sur l'al- cool permettrait, sans porter préjudice à d'autres secteurs de l'agriculture, d'élaborer à court terme de précieuses expérien- ces pour d'autres secteurs également. 49. Un encouragement accru de l'entraide comportera moins de problèmes par rapport à l'intégration européenne ou aux négociations du GATT, qu'une aide accrue de la part de l'Etat. 410. Les contributions de solidarité encouragent l'entraide, et celle-ci peut à son tour réduire raisonnablement l'aide étatique dans sa tendance. En ce sens, les producteurs arboricoles suisses aspirent aune rapide réalisation du projet de solidarité.« Considérations de la Commission de la santé publique et de l'environnement La Commission de la santé publique et de l'environnement ac- cueille favorablement les propositions formulées par l'auteur de l'initiative. L'initiative vise à créer les bases légales permettant à la Confédé ration de soutenir les efforts d'entraide des milieux fruitiers, plus précisément par la Fruit-Union Suisse. Il s'agit en particulier d'assurer la participation des producteurs non or- ganisés aux efforts d'entraide. Par entraide, il faut entendre les mesures suivantes: - adaptation des cultures de fruits de table aux possibilités d'écoulement exemple: versement de primes d'arrachage aux producteurs qui réduisent la surface de leur pommeraie - promotion des ventes de fruits exemple: financement de la publicité - promotion de la qualité des fruits exemple: financement du contrôle de la qualité, mise sur pied de cours De telles mesures sont déjà prises à l'heure actuelle. Il est nécessaire cependant de les renforcer et de les étendre. Les nouvelles dispositions légales offrent la possibilité de de- mander des contributions pour le financement des mesures d'entraide à tous les arboriculteurs professionnels. Les exploitations imposables devraient au moins compter 20 ares de cultures fruitières. Les contributions devraient s'éle- ver à quelque 200 francs par hectare et par an. Les contributions seraient perçues par la Fruit-Union Suisse auprès des membres d'organisations de producteurs; la Régie des alcools ou un office mandaté par elle les encaisse- rait auprès des non-membres. Ce système suppose qu'au moins la moitié des arboriculteurs professionnels détenant au minimum les 50 pour cent de la surface totale. Si ce n'est pas le cas, le Conseil fédéral pourrait être autorisé, à titre de solution de rechange, à réclamer une contribution obligatoire à tous les producteurs. Conformément à l'article 21ter de la loi sur les rapports entre les conseils, la commission, dans le cadre de l'examen préli- minaire, a pour tâches de faire rapport en particulier sur: a. l'état des travaux sur le même objet au Parlement et dans l'administration Au Parlement, ce problème n'a été soulevé qu'en raison de la présente initiative. En revanche, comme il ressort d'ailleurs de l'exposé des mo- tifs de l'auteur de l'initiative, l'administration a déjà réalisé des travaux précis dans ce domaine. Toutefois, le Département des finances a renvoyé à plus tard le projet; le Conseil fédéral ne l'a pas inscrit dans le programme de législature 1987-1991. b. l'ampleur et le calendrier du travail parlementaire Au cas où le Conseil national décide de donner suite au projet, la commission a besoin d'environ 9 mois pour élaborer un texte de loi accompagné d'un rapport. Une nouvelle procé- dure de consultation concernant cet objet n'est pas néces- saire. En revanche, la question de sa constitutionnalité exige un examen plus approfondi. Le Conseil fédéral aura besoin de 6 mois pour prendre position et le traitement du projet par le Conseil des Etats exigera 6 mois également. Ainsi, avec une éventuelle élimination des divergences, il faut compter 2 ans à partir du moment où le Conseil national aura décidé de donner suite à l'initiative. c. la possibilité de transformer l'initiative en motion ou postulat pour atteindre le but visé La Commission de la santé publique et de l'environnement est de l'avis que le but ne peut guère être atteint avec une motion ou un postulat. Bien que des projets complets aient été présentés et que la Confédération n'ait pas à supporter des frais supplémentaires, le Conseil fédéral n'a rien entrepris. Partant, il faut bien admet- tre qu'une motion ou un postulat ne pourrait pas changer grand chose non plus. Antrag der Kommission Die Kommission beantragt dem Nationalrat einstimmig, der In- itiative Folge zu geben. Proposition de la commission La commission, à l'unanimité, propose au Conseil national de donner suite à l'initiative. Angenommen - Adopté #ST# 86.240 Parlamentarische Initiative (Eggli-Winterthur) Artikel 325 OR. Aenderung Initiative parlementaire (Eggli-Winterthour) Article 325 CO. Modification Siehe Jahrgang 1988, Seite 1459-Voir année 1988, page 1459 Bericht und Beschlussentwurf der Petitions- und Gewährleistungskom- mission vom 30. August 1989 (BBIIII, 1233) Rapport et projet d'arrêté de la Commission des pétitions et de l'examen des constitutions cantonales du 30 août 1989 (FF III, 1189) Stellungnahme des Bundesrates vom 11. Dezember 1989 (BB119901,120) Avis du Conseil fédéral du 11 décembre 1989 (FF 19901,108) Antrag der Kommission Eintreten Proposition de la commission Entrer en matière Hess Peter, Berichterstatter: Ich möchte Sie darauf hinweisen, dass Sie in dieser Session drei verschiedene Dokumente aus- geteilt erhalten haben: nämlich den Bericht der Petitions- und Gewährleistungskommission, das ist das kleine gelbe Büch- lein, und die Stellungnahme des Bundesrates. Dann wurde aber fälschlicherweise auch der frühere, erste Bericht der Peti- tions- und Gewährleistungskommission ausgeteilt; den kön- nen Sie wegwerfen, weil er seinerzeit bereits im Rat verab- schiedet wurde und überhaupt Gegenstand für die Arbeit der Petitions- und Gewährleistungskommission war. Dem Antrag und Bericht der Petitions- und Gewährleistungs- kommission selbst können Sie entnehmen, dass es bei der parlamentarischen Initiative von Herrn alt Kollega Eggli-Win- terthur darum geht, im Obligationenrecht eine Bestimmung einzufügen, gemäss welcher die Abtretung oder Verpfändung künftiger Lohnforderungen unzulässig ist. Ich verzichte dar- auf, die Details zu kommentieren, weil sämtliche Ueberlegun- gen der Kommission, die dieser Initiative einstimmig gefolgt ist und den Gesetzesvorschlag mit Zustimmung des Bundesra-</w:t>
      </w:r>
    </w:p>
    <w:p>
      <w:r>
        <w:t>Schweizerisches Bundesarchiv, Digitale Amtsdruckschriften Archives fédérales suisses, Publications officielles numérisées Archivio federale svizzero, Pubblicazioni ufficiali digitali Parlamentarische Initiative (Berger) Alkoholgesetz. Selbsthilfe im Obstbau Initiative parlementaire (Berger) Loi sur l'alcool. Entraide en arboriculture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88.229 Numéro d'objet Numero dell'oggetto Datum 22.06.1990 - 08:00 Date Data Seite 1229-1233 Page Pagina Ref. No 20 018 714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