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88.222 vom 16. März 1988</w:t>
      </w:r>
    </w:p>
    <w:p>
      <w:r>
        <w:t>Bundesverwaltung, 1988-03-16, DE</w:t>
      </w:r>
    </w:p>
    <w:p>
      <w:r>
        <w:rPr>
          <w:b/>
        </w:rPr>
        <w:t xml:space="preserve">Quelle: </w:t>
      </w:r>
      <w:r>
        <w:t>https://mcp.opencaselaw.ch/entscheid/ch_vb_88.222</w:t>
      </w:r>
    </w:p>
    <w:p>
      <w:r>
        <w:t>FR: CH_VB 88.222 du 16 mars 1988</w:t>
      </w:r>
    </w:p>
    <w:p>
      <w:r>
        <w:t>IT: CH_VB 88.222 del 16 marzo 1988</w:t>
      </w:r>
    </w:p>
    <w:p>
      <w:pPr>
        <w:pStyle w:val="Heading2"/>
      </w:pPr>
      <w:r>
        <w:t>Erwägungen</w:t>
      </w:r>
    </w:p>
    <w:p>
      <w:r>
        <w:rPr>
          <w:b/>
        </w:rPr>
        <w:t>E. 16</w:t>
      </w:r>
    </w:p>
    <w:p>
      <w:r>
        <w:t>März 1988 N 377 Parlamentarische Initiative Noch etwas zu den diskutieren Durchschnittseinkommen: Berücksichtigt man auch die Steuern und die Sozialversi- cherungsbeiträge, so erhöhen sich (bei einer angenomme- nen marginalen Steuerquote von 30 Prozent) die Nettoein- kommen von durchschnittlich 17300 auf durchschnittlich 24300 Franken. Von den errechneten Mehrausgaben von 4,1 Millionen Franken fliessen rund 700 000 Franken an den Fiskus zurück, freilich grössenteils an jenen der Gemeinden und der Kantone. Mit den beantragten Entschädigungsansätzen für Spesen ist unsere Fraktion einverstanden, ebenso mit der Streichung der bisherigen Sonderentschädigung. Die Erhöhung der Jahrespauschale führt weder zu besonderen Privilegien noch zu untragbaren Opfern. Wo nötig, kann das Einkom- men auch durch einen sparsamen Umgang mit den Spesen- pauschalen verbessert werden. Um auf den Vergleich mit Chefbeamten zurückzukommen: Dieser hinkt aus verschiedenen 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