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88.206 vom 27. September 1989</w:t>
      </w:r>
    </w:p>
    <w:p>
      <w:r>
        <w:t>Bundesverwaltung, 1989-09-27, DE</w:t>
      </w:r>
    </w:p>
    <w:p>
      <w:r>
        <w:rPr>
          <w:b/>
        </w:rPr>
        <w:t xml:space="preserve">Quelle: </w:t>
      </w:r>
      <w:r>
        <w:t>https://mcp.opencaselaw.ch/entscheid/ch_vb_88.206</w:t>
      </w:r>
    </w:p>
    <w:p>
      <w:r>
        <w:t>FR: CH_VB 88.206 du 27 septembre 1989</w:t>
      </w:r>
    </w:p>
    <w:p>
      <w:r>
        <w:t>IT: CH_VB 88.206 del 27 settembre 1989</w:t>
      </w:r>
    </w:p>
    <w:p>
      <w:pPr>
        <w:pStyle w:val="Heading2"/>
      </w:pPr>
      <w:r>
        <w:t>Erwägungen</w:t>
      </w:r>
    </w:p>
    <w:p>
      <w:r>
        <w:rPr>
          <w:b/>
        </w:rPr>
        <w:t>E. 27</w:t>
      </w:r>
    </w:p>
    <w:p>
      <w:r>
        <w:t>septembre 1989 auch in deutlichem Widerspruch zur allgemeinen Tendenz im grenzüberschreitenden Verkehr in Europa. Gegen eine Umlegung spricht nach Ansicht der Arbeits- gruppe letztlich auch der Gedanke des Föderalismus. Eine Bundeslösung setzt voraus, dass die Kantone in einem wichti- gen Bereich ihre Steuerhoheit aufgäben. Unter Würdigung aller Aspekte und aus heutiger Sicht lehnt die Arbeitsgruppe eine Umlegung der kantonalen Motorfahr- zeugsteuern auf den Treibstoffpreis deshalb ab.» Die Mehrheit der Kommission für Gesundheit und Umwelt kommt zur gleichen Beurteilung. Hingegen kam die Arbeitsgruppe zum Schluss, dass einefahr- leistungsabhängige kantonale Motorfahrzeugsteuer prüfens- wert sei. Die Kommission für Gesundheit und Umwelt schliesst sich dem an und beantragt die Ueberweisung eines entspre- chenden Postulates. Die technischen, administrativen und be- tragsmässigen Einzelheiten einer kantonalen Motorfahrzeug- steuer nach Fahrleistung sind offen und könnten auch von den Kantonen selbständig festgelegt werden. Es ist auch zu prüfen, ob eine kilometerabhängige Abgabe aufgrund eines Durchschnitts pauschal erhoben werden könnte, dass aber beim Nachweis einer unterdurchschnittlichen Fahrleistung eine Rückerstattung möglich wäre. Damit könnte das admini- strative Verfahren vereinfacht werden. Die verursacherge- rechte Belastung des Treibstoffes würde belassen wie bisher. M. Hari présente au nom de la Commission de la santé publi- que et de l'environnement le rapport écrit suivant: I. Développement des initiatives I1. Initiative du canton de Zurich Se fondant sur une motion qui lui a été transmise, le Conseil d'Etat du canton de Zurich a présenté au parlement zurichois une proposition concernant le dépôt d'une initiative du canton en vue du prélèvement d'une taxe sur les véhicules à moteur, incluse dans le prix du carburant. Dans sa séance du 14 sep- tembre 1987, le parlement cantonal a approuvé, par 131 voix contre 0, la proposition du Conseil d'Etat. Se fondant sur cette décision prise par le parlement en vertu de l'article 35 de la Constitution du canton de Zurich, le Conseil d'Etat a déposé l'initiative le 14 octobre 1987. L'initiative cantonale est motivée comme il suit: II est incontestable que si la Confédération se chargeait de prélever une taxe supplémentaire sur le carburant en rempla- cement des impôts perçus jusqu'ici sur les véhicules par les cantons, il en résulterait une diminution du travail administratif et, partant, une économie importante pour les cantons. Comme la Confédération prélève de toute façon une surtaxe sur les carburants, le système proposé épargnerait aux can- tons les opérations d'encaissement. Mais surtout, la taxe sur les carburants permettrait de tenir compte du principe de cau- salité de la façon la plus simple: celui dont le véhicule con- somme beaucoup de carburant doit payer davantage au titre de cette taxe. En renonçant à taxer la détention d'un véhicule pour prélever un impôt sur son utilisation, on incitera peut-être les conducteurs à acheter des véhicules qui consomment peu, à conduire de façon économique ou encore à prendre plus souvent les transports publics. 12. Initiative du canton de Berne Se fondant sur une motion, le Grand Conseil du canton de Berne a, le 12 mai 1987, contre l'avis du Conseil-exécutif, décidé par 134 voix contre 38 de déposer une initiative canto- nale. Au Grand Conseil, l'initiative avait été motivée comme il suit: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