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87.949 vom 18. März 1988</w:t>
      </w:r>
    </w:p>
    <w:p>
      <w:r>
        <w:t>Bundesverwaltung, 1988-03-18, DE</w:t>
      </w:r>
    </w:p>
    <w:p>
      <w:r>
        <w:rPr>
          <w:b/>
        </w:rPr>
        <w:t xml:space="preserve">Quelle: </w:t>
      </w:r>
      <w:r>
        <w:t>https://mcp.opencaselaw.ch/entscheid/ch_vb_87.949</w:t>
      </w:r>
    </w:p>
    <w:p>
      <w:r>
        <w:t>FR: CH_VB 87.949 du 18 mars 1988</w:t>
      </w:r>
    </w:p>
    <w:p>
      <w:r>
        <w:t>IT: CH_VB 87.949 del 18 marzo 1988</w:t>
      </w:r>
    </w:p>
    <w:p>
      <w:pPr>
        <w:pStyle w:val="Heading2"/>
      </w:pPr>
      <w:r>
        <w:t>Erwägungen</w:t>
      </w:r>
    </w:p>
    <w:p>
      <w:r>
        <w:rPr>
          <w:b/>
        </w:rPr>
        <w:t>E. 18</w:t>
      </w:r>
    </w:p>
    <w:p>
      <w:r>
        <w:t>mars 1988 2. Qui est habilité à édicter de telles mesures concernant: a. les routes nationales; b. les routes cantonales; c. les routes communales (différencier, dans les deux derniers cas, entre les routes qui servent au trafic de transit et celles qui sont réservées au trafic local)? 3. Quelles sont les lois fédérales qui permettent d'édicter de pareilles restrictions du trafic? 4. Les cantons peuvent-ils, en cas d'immissions excessives, interdire complètement toute circulation dans une région déterminée? Dans l'affirmative, comment faut-il procéder à la signalisa- tion: de façon générale ou pour chaque rue séparément? 5. Le Conseil fédéral est-il prêt, le cas échéant, à donner des compétences accrues aux cantons et aux communes afin de leur permettre de prendre des mesures limitant le trafic pour lutter contre la pollution de l'air? Serait-il nécessaire de modifier le cas échéant la législation fédérale à cet effet? Mitunterzeichner- Cosignataires: Keine - Aucun Schriftliche Begründung - Développement par écrit Die Urheberin verzichtet auf eine Begründung und wünscht eine schriftliche Antwort. Schriftliche Stellungnahme des Bundesrates vom 29. Februar 1988 Rapport écrit du Conseil fédéral du 29 février 1988 Einleitend ist festzustellen, dass das Strassenverkehrsrecht zwei Strassenkategorien unterscheidet: einerseits die Durchgangsstrassen und andererseits Nichtdurchgangs- strassen. Von Verfassungs wegen (Art. 37bisAbs. 2 BV) fällt die Offen- erklärung der Durchgangsstrassen in die Kompetenz des Bundes; sie nimmt den Kantonen die Möglichkeit, den Motorfahrzeugverkehr auf den vom Bundesrat bezeichneten Durchgangsstrassen zu verbieten. Durchgangsstrassen sind die Autobahnen, die Autostrassen und die Hauptstrassen ausserorts und innerorts (Art. 110 Abs. 1 derSignalisations- verordnung (SSV), SR 741.21; Verordnung vom 6.6.83 über die Durchgangsstrassen, SR 741.272). Unter die Nichtdurch- gangsstrassen fallen sämtliche Nebenstrassen. Aus dieser verfassungsrechtlichen Kompetenzabgrenzung ergeben sich für die Anordnung von Verkehrsmassnahmen grundsätzlich folgende Zuständigkeiten: - Dauernde und zeitliche Totalfahrverbote können die Kan- tone nur auf den Nichtdurchgangsstrassen erlassen (Art. 3 Abs. 3 des StrassenVerkehrsgesetzes (SVG), SR 741.01). -Andere, d. h. sogenannte funktionelle Verkehrsbeschrän- kungen (Art. 3 Abs. 4 SVG) können die Kantone auf allen Strassen anordnen, soweit nicht die Bundeskompetenz gegeben ist; da für solche Massnahmen auf Autobahnen und Autostrassen, die Nationalstrassen sind, der Bund zuständig ist (Art. 32 Abs. 3 SVG; Art. 110 Abs. 2 SSV), ver- bleiben die Haupt: und Nebenstrassen in der Regelungs- kompetenz der Kantone (vgl. Stellungnahme des Bundes- rats vom 26.1.83 zur parlamentarischen Initiative betreffend Strassen Verkehrsgesetz (Wohnquartiere), BB11983 l 801). Die Kantone können ihre Kompetenzen den Gemeinden delegieren (Art. 3 Abs. 2 SVG). Aufgrund dieser für das bessere Verständnis notwendigen Vorbemerkungen lassen sich die Fragen der Interpellantin wie folgt beantworten: 1. Unter die in Artikel 33 der Luftreinhalteverordnung (LRV, SR 814.318.142.1) erwähnten verkehrsbeschränkenden Massnahmen fallen die funktionellen Verkehrsbeschränkun- gen auf Durchgangsstrassen und Nichtdurchgangsstrassen im Sinne von Artikel 3 Absatz 4 SVG, namentlich Teilfahrver- bote für bestimmte Fahrzeugkategorien, Fahrverbote mit dem Zusatz «Zubringerdienst gestattet», von den allgemei- nen Tempolimiten abweichende Geschwindigkeitsbe- schränkungen, Einbahnregelungen, Parkierregelungen, Abbiegeverbote, Wohnstrassen usw. Bezüglich funktionelle Verkehrsbeschränkungen sind Umweltschutz- und Stras- senverkehrsrecht deckungsgleich. Dauernde oder zeitliche Totalfahrverbote können als «verkehrsbeschränkende Massnahmen» im Sinne von Artikel 33 LRV aus Umwelt- schutzgründen gestützt auf Artikel 3 Absatz 3 SVG nur auf Nichtdurchgangsstrassen angeordnet werden. 2. Die Kompetenz zum Erlass verkehrsbeschränkender Massnahmen im Sinne von Artikel 33 LRV hat: a. auf Nationalstrassen: das Eidgenössische Justiz- und Polizeidepartement (Art. 32 Abs. 3 SVG; Art. 110 Abs. 2 SSV); b. auf Kantonsstrassen: der Kanton oder- kraft Delegation nach kantonalem Recht (Art. 3 Abs. 2 SVG) - die Gemeinde (Art. 3 Abs. 4 und Art. 32 Abs. 3 SVG); c. auf Gemeindestrassen: der Kanton oder - kraft Delega- tion nach kantonalem Recht (Art. 3 Abs. 2 SVG) - die Gemeinde (Art. 3 Abs. 4 und Art. 32 Abs. 3 SVG). Für die Anordnung funktioneller Verkehrsbeschränkungen spielt die Unterscheidung zwischen Durchgangs- und Nicht- durchgangsstrassen bei b. und c. keine Rolle; solche Mass- nahmen können von den Kantonen oder Gemeinden sowohl auf kantonalen als auch auf kommunalen Haupt- und Nebenstrassen verfügt werden. 3. Funktionelle Verkehrsbeschränkungen im Sinne von Arti- kel 33 LRV werden gestützt auf Artikel 3 Absatz 4 SVG ange- ordnet (vgl. den Verweis in Art. 33 Abs. 2 LRV). 4. Die Kantone können zur Beseitigung übermässiger Immissionen dauernde oder zeitliche Totalfahrverbote gestützt auf Artikels Absatz3 SVG nur auf Nichtdurch- gangsstrassen, d. h. auf Nebenstrassen, erlassen. Die vom Fahrverbot betroffenen Strassen sind einzeln mit dem Signal 2.01 «Allgemeines Fahrverbot in beiden Richtungen» (Art. 18 SSV) zu signalisieren. Um die Signalisation von abgegrenzten Gebieten mit gleichartigen Strassen (z. B. Wohnquartiere) zu vereinfachen, wird der Bundesrat bei der nächsten Aenderung der SSV die Zonensignalisation ein- führen. 5. Wie einleitend ausgeführt, widerspiegelt Artikel 3 Absatz 3 SVG das verfassungsmässige Verbot der Kantone, auf den vom Bund offen erklärten Durchgangsstrassen den Verkehr zu untersagen. Die Einräumung grösserer Kompe- tenzen an die Kantone in dem Sinne, dass die Kantone zur Einhaltung der Immissionsgrenzwerte der LRV Fahrverbote auch auf den vom Bund für den Durchgangsverkehr offen erklärten Hauptstrassen anordnen könnten, würde der ver- fassungsrechtlichen Kompetenzabgrenzung widersprechen und kann daher nicht durch eine Aenderung des SVG er- folgen. Von der Einhaltung der Immissionsgrenzwerte der LRV, die nur durch dauerhafte Sanierungsmassnahmen, aufgrund eines alle Emissionsquellen berücksichtigenden Massnah- meplans innerhalb der geltenden Frist (in der Regel innert 5 Jahren, Art. 31 LRV), sicherzustellen ist, muss die Alarmsi- tuation unterschieden werden. In einer solchen Notsitua- tion, wie z. B. beim Smog-Alarm, besteht bereits die rechtli- che Grundlage in Artikel 3 Absatz 6 SVG, um z. B. vorüber- gehende Fahrverbote auch auf Innerortshauptstrassen anzuordnen. Der Bundesrat hat in seinen im November 1987 verabschiedeten Empfehlungen für das Vorgehen bei Win- tersmog auf solche Fahrverbote in der Interventionsstufe hingewiesen. Abstimmung - Vote Für den Antrag auf Diskussion Dagegen offensichtliche Mehrheit Minderheit Präsident: Die Interpellantin ist von der Antwort des Bun- desrates nicht befriedigt.</w:t>
      </w:r>
    </w:p>
    <w:p>
      <w:r>
        <w:t>Schweizerisches Bundesarchiv, Digitale Amtsdruckschriften Archives fédérales suisses, Publications officielles numérisées Archivio federale svizzero, Pubblicazioni ufficiali digitali Interpellation Leutenegger Oberholzer Luftreinhalte-Verordnung. Verkehrsbeschränkende Massnahmen Interpellation Leutenegger Oberholzer Ordonnance sur la protection de l'air. Mesures applicables au trafic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87.949 Numéro d'objet Numero dell'oggetto Datum 18.03.1988 - 08:00 Date Data Seite 461-462 Page Pagina Ref. No</w:t>
      </w:r>
    </w:p>
    <w:p>
      <w:r>
        <w:rPr>
          <w:b/>
        </w:rPr>
        <w:t>E. 20</w:t>
      </w:r>
    </w:p>
    <w:p>
      <w:r>
        <w:t>016 250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