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87.803 vom 18. März 1988</w:t>
      </w:r>
    </w:p>
    <w:p>
      <w:r>
        <w:t>Bundesverwaltung, 1988-03-18, DE</w:t>
      </w:r>
    </w:p>
    <w:p>
      <w:r>
        <w:rPr>
          <w:b/>
        </w:rPr>
        <w:t xml:space="preserve">Quelle: </w:t>
      </w:r>
      <w:r>
        <w:t>https://mcp.opencaselaw.ch/entscheid/ch_vb_87.803</w:t>
      </w:r>
    </w:p>
    <w:p>
      <w:r>
        <w:t>FR: CH_VB 87.803 du 18 mars 1988</w:t>
      </w:r>
    </w:p>
    <w:p>
      <w:r>
        <w:t>IT: CH_VB 87.803 del 18 marzo 1988</w:t>
      </w:r>
    </w:p>
    <w:p>
      <w:pPr>
        <w:pStyle w:val="Heading2"/>
      </w:pPr>
      <w:r>
        <w:t>Erwägungen</w:t>
      </w:r>
    </w:p>
    <w:p>
      <w:r>
        <w:rPr>
          <w:b/>
        </w:rPr>
        <w:t>E. 18</w:t>
      </w:r>
    </w:p>
    <w:p>
      <w:r>
        <w:t>mars 1988 e. Die Tatsache, dass die ESA-Programme gemäss Artikel 2 der Konvention auf ausschliesslich friedliche Zwecke beschränkt sind, hat den neutralen Mitgliedstaaten Oester- reich, Schweden und Schweiz die Vollmitgliedschaft ermög- licht. Für die ESA bedeutet diese Bestimmung, dass im ESA- Rahmen nur nichtmilitärische Projekte - seien es Trägerra- keten oder Satelliten - entwickelt werden können. Beim Beitritt der Schweiz zur «Erklärung europäischer Regierun- gen über die Produktionsphase der Ariane-Träger» vom 14. Januar 1980, die die Rechtsgrundlage für die Uebertra- gung von Serienproduktion und Vermarktung der Rakete an die privatrechtlich strukturierte Gesellschaft Arianespace bildet, stellte sich aber die Frage, ob der Start militärischer Satelliten unter gewissen Bedingungen mit der Klausel der «friedlichen Zwecke» vereinbar sei. Nach einhelliger Mei- nung der ESA-Mitgliedstaaten wäre der Start nichtoffensiver Militärsatelliten durch Arianespace nicht unvereinbar mit der ESA-Konvention. Zu dieser Kategorie gehören nament- lich Fernmelde- und Aufklärungssatelliten für militärische Zwecke. Das internationale Kontrollkomitee zur Ueberwachung der Arianespace-Tätigkeit, das im übrigen im Jahre 1988 unter schweizerischem Vorsitz steht, hat umfassenden Einblick in die Liste der Reservationen und festen Buchungen. Es musste bis jetzt nie zusammentreten, da sämtliche Aufträge - mit Ausnahme eines einzigen für den Start eines britischen Militärfernmeldesatelliten - zivile Satelliten betreffen. Das Komitee hat aber die Kompetenz, der Firma gegebenenfalls die Durchführung eines Starts zu untersagen. Anzufügen ist, dass die Ariane-Raketen technisch ausschliesslich als Transportfahrzeuge für Satelliten verwendet werden können und ein militärischer Einsatz der Rakete selbst, etwa zum Transport von Kernsprengköpfen, ausgeschlossen ist. Die Frage nach der militärischen Nutzung des im ESA- Rahmen entwickelten Weltraumlabors Spacelab ist auf- grund einer anderen Ausgangslage zu beantworten: Gemäss den Bestimmungen der mit den USA seinerzeit geschlossenen Vereinbarungen ging die Verfügungsgewalt über das Labor nach dem ersten Flug vollumfänglich an die Nasa über. Die ESA hat darum weder auf zivile noch auf im Auftrag des Verteidigungsministeriums von der Nasa durch- geführte Missionen der Spacelab Einfluss. Diese von heute aus gesehen ungünstige Rechtslage erklärt sich aus der seinerzeit weltraumtechnologisch schwachen Stellung Europas gegenüber den USA. In den Verhandlungen über die mögliche ESA/Nasa-Zusam- menarbeit an einer permanenten Raumstation ist das Pro- blem der militärischen Nutzung ungelöst. Immerhin steht fest, dass das von der ESA zu liefernde Labor APM nicht militärisch genutzt werden darf. Da es aber das Gesamt- potential der US-Raumstation erhöht, deren militärische Nutzung in ihren eigenen Teilen sich die USA ausdrücklich vorbehalten, hat der Bundesrat eine schweizerische Beteili- gung an diesem Element des Columbus-Programms der ESA ausgeschlossen. Zur militärischen Nutzung des Weltraums im allgemeinen ist festzuhalten, dass sie vom geltenden Völkerrecht nicht aus- geschlossen wird. Lediglich auf dem Mond und anderen Himmelskörpern sind aufgrund des «Vertrags über die Grundsätze zur Regelung der Tätigkeiten bei der Erfor- schung und Nutzung des Weltraums einschliesslich des Mondes und anderer Himmelskörper» vom 27. Januar 1967 militärische Aktivitäten untersagt. Braunschweig: Inhaltlich ersuche ich den Bundesrat, in bezug auf die militärische Nutzung des Weltraums, auf die Zusammenarbeit der Europäischen Weltraumorganisation mit der Nasa und auf Militärsatelliten nicht nur zurückhal- tend zu sein, sondern überall dort, wo er mitreden kann, nein zu sagen. Dieses Nein zum Weiterrüsten in neuen Bereichen und Dimensionen liegt auch in unserem eigenen sicherheitspolitischen Interesse. Ich danke dem Bundesrat für die ausführliche und sehr kritische Stellungnahme und erkläre mich zum grössten Teil befriedigt. Präsident: Der Interpellant ist von der Antwort des Bundes- rates teilweise befriedigt. #ST# 87.531 Interpellation (Weber Monika)-Biel BVG. Zeitpunkt der Revision LPP. Prochaine révision Wortlaut der Interpellation vom 19. Juni 1987 Laut Gesetz ist der Bundesrat verpflichtet, 1995 das BVG einer ersten Revision zu unterziehen. Angesichts der für alle Beteiligten nicht sehr befriedigenden Situation frage ich den Bundesrat an, ob er nicht bereit ist, die Vorarbeiten für eine Revision zeitlich vorzuziehen auf das Jahr 1991, und das insbesondere deshalb, weil das wichtige Problem der vollen Freizügigkeit einfach nicht mehr länger hinausgeschoben werden kann. Texte de l'interpellation du 19 juin 1987 Aux termes de la loi, le Conseil fédéral est tenu de soumettre la loi sur la prévoyance professionnelle à une première révision en 1995. Compte tenu du fait que la situation n'est pas très satisfaisante pour les personnes concernées, je demande au Conseil fédéral s'il ne serait pas disposé à avancer à 1991 les travaux préliminaires en vue de la révi- sion de cette loi, et ce notamment parce qu'il n'est pas tolérable de repousser encore la solution à apporter à l'im- portant problème du libre-passage. Mitunterzeichner - Cosignataires: Biel, Chopard, Dünki, Grendelmeier, Jaeger, Maeder-Appenzell, Müller-Aargau, Oester, Weder-Basel, Widmer, Zwygart (11) Schriftliche Begründung - Développement par écrit Der Urheber verzichtet auf eine Begründung und wünscht eine schriftliche Antwort. Schriftliche Stellungnahme des Bundesrates vom 26. August 1987 Rapport écrit du Conseil fédéral du 26 août 1987 Die Angehörigen der Eintrittsgeneration der obligatorischen beruflichen Vorsorge sollen gemäss Artikel 11 Absatz 2 der Uebergangsbestimmung zur Bundesverfassung je nach Höhe ihres Einkommens nach 10 bis 20 Jahren seit Inkraft- treten des entsprechenden Gesetzes in den Genuss des gesetzlich vorgeschriebenen Mindestschutzes gelangen. Das Bundesgesetz über die berufliche Alters-, Hinterlasse- nen-und Invalidenvorsorge (BVG) ist auf den 1. Januar 1985 in Kraft getreten. Die Eintrittsgeneration gelangt durch die- ses Gesetz noch nicht in den Genuss des vorgeschriebenen Mindestschutzes. Die erwähnte Bestimmung zur Bundesverfassung gebietet, das BVG auf den 1. Januar 1995 unter Berücksichtigung des verfassungsrechtlichen Auftrages revidiert in Kraft zu set- zen, damit ab diesem Zeitpunkt der mit Uebergangsbestim- mung Artikel 11 Absatz 2 BVG angesprochenen Zielgruppe der Arbeitnehmer mit geringem Einkommen die Garantie für eine Fortsetzung der gewohnten Lebenshaltung tatsächlich erbracht werden kann. In diesem Sinn hat der Bundesrat gemäss Artikel 1 Absatz 2 BVG rechtzeitig eine Gesetzesre- vision zu beantragen. Der Bundesrat wird diese Gesetzesrevision rechtzeitig vor- bereiten, wie er auch rechtzeitig die Revision der bisher erlassenen Verordnungen im Bereich der beruflichen Vor- sorge an die Hand nehmen wird. Entsprechende Vorberei- tungsarbeiten sind auf Verwaltungsstufe bereits ins Auge gefasst.</w:t>
      </w:r>
    </w:p>
    <w:p>
      <w:r>
        <w:t>Schweizerisches Bundesarchiv, Digitale Amtsdruckschriften Archives fédérales suisses, Publications officielles numérisées Archivio federale svizzero, Pubblicazioni ufficiali digitali Interpellation Braunschweig Weltraumforschung Interpellation Braunschweig Recherche spatiale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87.803 Numéro d'objet Numero dell'oggetto Datum 18.03.1988 - 08:00 Date Data Seite 447-450 Page Pagina Ref. No</w:t>
      </w:r>
    </w:p>
    <w:p>
      <w:r>
        <w:rPr>
          <w:b/>
        </w:rPr>
        <w:t>E. 20</w:t>
      </w:r>
    </w:p>
    <w:p>
      <w:r>
        <w:t>016 237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